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ru-RU" w:eastAsia="ru-RU" w:bidi="ru-RU"/>
        </w:rPr>
        <w:t>Форма запроса NDA и контролируемой информации</w:t>
      </w:r>
    </w:p>
    <w:p>
      <w:pPr>
        <w:pStyle w:val="Subtitle"/>
        <w:spacing w:before="0" w:after="140" w:line="240" w:lineRule="auto"/>
        <w:jc w:val="left"/>
      </w:pPr>
      <w:r>
        <w:rPr>
          <w:rFonts w:ascii="Arial" w:hAnsi="Arial" w:eastAsia="Arial" w:cs="Arial"/>
          <w:color w:val="526577"/>
          <w:sz w:val="19"/>
          <w:lang w:val="ru-RU" w:eastAsia="ru-RU" w:bidi="ru-RU"/>
        </w:rPr>
        <w:t>Надежное определение конфиденциальных и потенциально экспортно-контролируемых обсуждений</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ru-RU" w:eastAsia="ru-RU" w:bidi="ru-RU"/>
              </w:rPr>
              <w:t>Код документа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OLYD-FRM-NDA-001</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ru-RU" w:eastAsia="ru-RU" w:bidi="ru-RU"/>
              </w:rPr>
              <w:t>Версия / дата вступления в силу</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3.0 / 2 августа 2026 г.</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ru-RU" w:eastAsia="ru-RU" w:bidi="ru-RU"/>
              </w:rPr>
              <w:t>Классификация</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Контролируемая деловая форма</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ru-RU" w:eastAsia="ru-RU" w:bidi="ru-RU"/>
              </w:rPr>
              <w:t>Владелец документа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OLYDEFENCE — OLYVENRA LTD</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ru-RU" w:eastAsia="ru-RU" w:bidi="ru-RU"/>
              </w:rPr>
              <w:t>Язык</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Русский</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ru-RU" w:eastAsia="ru-RU" w:bidi="ru-RU"/>
              </w:rPr>
              <w:t>Статус</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Готово к публикации / контролируемый оригинал</w:t>
            </w:r>
          </w:p>
        </w:tc>
      </w:tr>
    </w:tbl>
    <w:tbl>
      <w:tblPr>
        <w:tblW w:type="dxa" w:w="10106"/>
        <w:jc w:val="center"/>
        <w:tblLayout w:type="fixed"/>
        <w:tblLook w:firstColumn="1" w:firstRow="1" w:lastColumn="0" w:lastRow="0" w:noHBand="0" w:noVBand="1" w:val="04A0"/>
        <w:tblInd w:w="120" w:type="dxa"/>
        <w:tblCaption w:val="Назначение"/>
        <w:tblDescription w:val="Используйте этот запрос, чтобы определить стороны, разрешенную цель, категории информации, уполномоченных получателей, страны, системы, условия хранения и другие средства контроля перед обменом конфиденциальной информаци"/>
      </w:tblPr>
      <w:tblGrid>
        <w:gridCol w:w="10106"/>
      </w:tblGrid>
      <w:tr>
        <w:trPr>
          <w:trHeight w:hRule="atLeast"/>
          <w:tblHeader/>
          <w:cantSplit/>
        </w:trPr>
        <w:tc>
          <w:tcPr>
            <w:tcW w:type="dxa" w:w="10106"/>
            <w:tcMar>
              <w:top w:w="90" w:type="dxa"/>
              <w:start w:w="120" w:type="dxa"/>
              <w:bottom w:w="90" w:type="dxa"/>
              <w:end w:w="120" w:type="dxa"/>
            </w:tcMar>
            <w:vAlign w:val="center"/>
            <w:shd w:fill="866A20" w:val="clear"/>
          </w:tcPr>
          <w:p>
            <w:pPr>
              <w:spacing w:before="0" w:after="0" w:line="240" w:lineRule="auto"/>
              <w:jc w:val="left"/>
            </w:pPr>
            <w:r/>
            <w:r>
              <w:rPr>
                <w:rFonts w:ascii="Arial" w:hAnsi="Arial" w:eastAsia="Arial" w:cs="Arial"/>
                <w:b/>
                <w:i w:val="0"/>
                <w:color w:val="FFFFFF"/>
                <w:sz w:val="18"/>
                <w:lang w:val="ru-RU" w:eastAsia="ru-RU" w:bidi="ru-RU"/>
              </w:rPr>
              <w:t>Назначение</w:t>
            </w:r>
          </w:p>
        </w:tc>
      </w:tr>
      <w:tr>
        <w:trPr>
          <w:trHeight w:hRule="atLeast"/>
          <w:cantSplit/>
        </w:trPr>
        <w:tc>
          <w:tcPr>
            <w:tcW w:type="dxa" w:w="10106"/>
            <w:tcMar>
              <w:top w:w="90" w:type="dxa"/>
              <w:start w:w="120" w:type="dxa"/>
              <w:bottom w:w="90" w:type="dxa"/>
              <w:end w:w="120" w:type="dxa"/>
            </w:tcMar>
            <w:vAlign w:val="center"/>
            <w:shd w:fill="F7F0DC" w:val="clear"/>
          </w:tcPr>
          <w:p>
            <w:pPr>
              <w:spacing w:before="0" w:after="0" w:line="252" w:lineRule="auto"/>
              <w:jc w:val="left"/>
            </w:pPr>
            <w:r/>
            <w:r>
              <w:rPr>
                <w:rFonts w:ascii="Arial" w:hAnsi="Arial" w:eastAsia="Arial" w:cs="Arial"/>
                <w:color w:val="102334"/>
                <w:sz w:val="17"/>
                <w:lang w:val="ru-RU" w:eastAsia="ru-RU" w:bidi="ru-RU"/>
              </w:rPr>
              <w:t>Используйте этот запрос, чтобы определить стороны, разрешенную цель, категории информации, уполномоченных получателей, страны, системы, условия хранения и другие средства контроля перед обменом конфиденциальной информацией. Отправка не создает соглашения о неразглашении и не разрешает раскрытие информации.</w:t>
            </w:r>
          </w:p>
        </w:tc>
      </w:tr>
    </w:tbl>
    <w:tbl>
      <w:tblPr>
        <w:tblW w:type="dxa" w:w="10106"/>
        <w:jc w:val="center"/>
        <w:tblLayout w:type="fixed"/>
        <w:tblLook w:firstColumn="1" w:firstRow="1" w:lastColumn="0" w:lastRow="0" w:noHBand="0" w:noVBand="1" w:val="04A0"/>
        <w:tblInd w:w="120" w:type="dxa"/>
        <w:tblCaption w:val="Инструкция по заполнению"/>
        <w:tblDescription w:val="Заполните все применимые поля. Используйте общие, неконфиденциальные описания и приведите доказательства по названию документа, издателю, номеру, редакции и дате. Пометка Не применимо по причине. OLYDEFENCE может запроси"/>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ru-RU" w:eastAsia="ru-RU" w:bidi="ru-RU"/>
              </w:rPr>
              <w:t>Инструкция по заполнению</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ru-RU" w:eastAsia="ru-RU" w:bidi="ru-RU"/>
              </w:rPr>
              <w:t>Заполните все применимые поля. Используйте общие, неконфиденциальные описания и приведите доказательства по названию документа, издателю, номеру, редакции и дате. Пометка Не применимо по причине. OLYDEFENCE может запросить разъяснения, усиленную комплексную проверку или безопасный обмен документами.</w:t>
            </w:r>
          </w:p>
        </w:tc>
      </w:tr>
    </w:tbl>
    <w:tbl>
      <w:tblPr>
        <w:tblW w:type="dxa" w:w="10106"/>
        <w:jc w:val="center"/>
        <w:tblLayout w:type="fixed"/>
        <w:tblLook w:firstColumn="1" w:firstRow="1" w:lastColumn="0" w:lastRow="0" w:noHBand="0" w:noVBand="1" w:val="04A0"/>
        <w:tblInd w:w="120" w:type="dxa"/>
        <w:tblCaption w:val="Конфиденциальность и безопасная передача документов"/>
        <w:tblDescription w:val="Не отправляйте секретную информацию, технические данные, подлежащие экспортному контролю, сведения о конфигурации оружия, документы, удостоверяющие личность, медицинские записи или учетные данные по обычной электронной п"/>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ru-RU" w:eastAsia="ru-RU" w:bidi="ru-RU"/>
              </w:rPr>
              <w:t>Конфиденциальность и безопасная передача документов</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ru-RU" w:eastAsia="ru-RU" w:bidi="ru-RU"/>
              </w:rPr>
              <w:t>Не отправляйте секретную информацию, технические данные, подлежащие экспортному контролю, сведения о конфигурации оружия, документы, удостоверяющие личность, медицинские записи или учетные данные по обычной электронной почте или через эту общедоступную форму. Предоставляйте только ссылки до тех пор, пока не будут подтверждены утвержденный безопасный канал и авторизованные получатели.</w:t>
            </w:r>
          </w:p>
          <w:p>
            <w:pPr>
              <w:spacing w:before="60" w:after="0" w:line="240" w:lineRule="auto"/>
              <w:jc w:val="left"/>
            </w:pPr>
            <w:hyperlink r:id="rId11">
              <w:r>
                <w:rPr>
                  <w:color w:val="866A20"/>
                  <w:u w:val="single"/>
                </w:rPr>
                <w:t>Ознакомиться с Уведомлением OLYVENRA о конфиденциальности</w:t>
              </w:r>
            </w:hyperlink>
          </w:p>
        </w:tc>
      </w:tr>
    </w:tbl>
    <w:tbl>
      <w:tblPr>
        <w:tblW w:type="dxa" w:w="10106"/>
        <w:jc w:val="center"/>
        <w:tblLayout w:type="fixed"/>
        <w:tblLook w:firstColumn="1" w:firstRow="1" w:lastColumn="0" w:lastRow="0" w:noHBand="0" w:noVBand="1" w:val="04A0"/>
        <w:tblInd w:w="120" w:type="dxa"/>
        <w:tblCaption w:val="Границы контролируемого снабжения и защищённой информации"/>
        <w:tblDescription w:val="Эта форма не является предложением, одобрением продукта, лицензией, разрешением на конечное использование, юридической консультацией или обязательством совершить сделку. Контролируемые товары перемещаются только через ко"/>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ru-RU" w:eastAsia="ru-RU" w:bidi="ru-RU"/>
              </w:rPr>
              <w:t>Границы контролируемого снабжения и защищённой информации</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ru-RU" w:eastAsia="ru-RU" w:bidi="ru-RU"/>
              </w:rPr>
              <w:t>Эта форма не является предложением, одобрением продукта, лицензией, разрешением на конечное использование, юридической консультацией или обязательством совершить сделку. Контролируемые товары перемещаются только через компетентные органы и законными лицензированными маршрутами. В состав общественной аптечки не входят лекарства; любой запрос на лекарство должен использовать отдельный лицензированный канал, если это разрешено законом.</w:t>
            </w:r>
          </w:p>
        </w:tc>
      </w:tr>
    </w:tbl>
    <w:p>
      <w:pPr>
        <w:pStyle w:val="Heading1"/>
        <w:keepNext/>
        <w:spacing w:before="160" w:after="80" w:line="240" w:lineRule="auto"/>
        <w:jc w:val="left"/>
      </w:pPr>
      <w:r>
        <w:rPr>
          <w:rFonts w:ascii="Arial" w:hAnsi="Arial" w:eastAsia="Arial" w:cs="Arial"/>
          <w:b/>
          <w:color w:val="866A20"/>
          <w:sz w:val="25"/>
          <w:lang w:val="ru-RU" w:eastAsia="ru-RU" w:bidi="ru-RU"/>
        </w:rPr>
        <w:t>Стороны, полномочия и конфиденциальная цель</w:t>
      </w:r>
    </w:p>
    <w:tbl>
      <w:tblPr>
        <w:tblW w:type="dxa" w:w="10106"/>
        <w:jc w:val="center"/>
        <w:tblLayout w:type="fixed"/>
        <w:tblLook w:firstColumn="1" w:firstRow="1" w:lastColumn="0" w:lastRow="0" w:noHBand="0" w:noVBand="1" w:val="04A0"/>
        <w:tblInd w:w="120" w:type="dxa"/>
        <w:tblCaption w:val="Стороны, полномочия и конфиденциальная цель"/>
        <w:tblDescription w:val="Стороны, полномочия и конфиденциальная цель: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Предлагаемые юридические стороны и уполномоченные лица с правом подписи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едлагаемые юридические стороны и уполномоченные лица с правом подписи"/>
                <w:tag w:val="olydefence.v3.nda-request.ru.nda_parties.nda_entities"/>
                <w:id w:val="2038742825"/>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Регистрационный номер, страна и адрес регистрации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Регистрационный номер, страна и адрес регистрации"/>
                <w:tag w:val="olydefence.v3.nda-request.ru.nda_parties.registration"/>
                <w:id w:val="1149961073"/>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Уполномоченное контактное лицо: имя, должность, отдел, адрес электронной почты и телефон.</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Уполномоченное контактное лицо: имя, должность, отдел, адрес электронной почты и телефон."/>
                <w:tag w:val="olydefence.v3.nda-request.ru.nda_parties.contact"/>
                <w:id w:val="1379403641"/>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Государственный мандат, полномочия на закупки или основания для представления организации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Государственный мандат, полномочия на закупки или основания для представления организации"/>
                <w:tag w:val="olydefence.v3.nda-request.ru.nda_parties.authority_basis"/>
                <w:id w:val="1590814473"/>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Конкретная разрешенная цель и ссылка на проект/возможность</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нкретная разрешенная цель и ссылка на проект/возможность"/>
                <w:tag w:val="olydefence.v3.nda-request.ru.nda_parties.confidential_purpose"/>
                <w:id w:val="1186487340"/>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Страны доступа, передачи, обработки и хранения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траны доступа, передачи, обработки и хранения"/>
                <w:tag w:val="olydefence.v3.nda-request.ru.nda_parties.countries"/>
                <w:id w:val="593325601"/>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Именованные или определенные роли получатели, о которых необходимо знать</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Именованные или определенные роли получатели, о которых необходимо знать"/>
                <w:tag w:val="olydefence.v3.nda-request.ru.nda_parties.recipients"/>
                <w:id w:val="995053849"/>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p>
      <w:pPr>
        <w:pStyle w:val="Heading1"/>
        <w:keepNext/>
        <w:spacing w:before="160" w:after="80" w:line="240" w:lineRule="auto"/>
        <w:jc w:val="left"/>
      </w:pPr>
      <w:r>
        <w:rPr>
          <w:rFonts w:ascii="Arial" w:hAnsi="Arial" w:eastAsia="Arial" w:cs="Arial"/>
          <w:b/>
          <w:color w:val="866A20"/>
          <w:sz w:val="25"/>
          <w:lang w:val="ru-RU" w:eastAsia="ru-RU" w:bidi="ru-RU"/>
        </w:rPr>
        <w:t>Классификация информации и объем доступа</w:t>
      </w:r>
    </w:p>
    <w:tbl>
      <w:tblPr>
        <w:tblW w:type="dxa" w:w="10106"/>
        <w:jc w:val="center"/>
        <w:tblLayout w:type="fixed"/>
        <w:tblLook w:firstColumn="1" w:firstRow="1" w:lastColumn="0" w:lastRow="0" w:noHBand="0" w:noVBand="1" w:val="04A0"/>
        <w:tblInd w:w="120" w:type="dxa"/>
        <w:tblCaption w:val="Классификация информации и объем доступа"/>
        <w:tblDescription w:val="Классификация информации и объем доступа: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Категории коммерческой информации, продукции, качества, программного обеспечения, технической или другой информации.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атегории коммерческой информации, продукции, качества, программного обеспечения, технической или другой информации."/>
                <w:tag w:val="olydefence.v3.nda-request.ru.info_scope.information_categories"/>
                <w:id w:val="604352795"/>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Техническая информация, контролируемая экспортом, двойного назначения, военная или чувствительная к безопасности.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Техническая информация, контролируемая экспортом, двойного назначения, военная или чувствительная к безопасности."/>
                <w:tag w:val="olydefence.v3.nda-request.ru.info_scope.export_data"/>
                <w:id w:val="1665939777"/>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Соответствующая информация, засекреченная правительством (не прикрепляйте и не раскрывайте ее через эту форму)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оответствующая информация, засекреченная правительством (не прикрепляйте и не раскрывайте ее через эту форму)"/>
                <w:tag w:val="olydefence.v3.nda-request.ru.info_scope.classified_data"/>
                <w:id w:val="1051325692"/>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Конфиденциальная информация третьих лиц и полномочия на ее раскрытие</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нфиденциальная информация третьих лиц и полномочия на ее раскрытие"/>
                <w:tag w:val="olydefence.v3.nda-request.ru.info_scope.third_party_data"/>
                <w:id w:val="722685174"/>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Задействованные персональные данные и применимые ограничения конфиденциальности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действованные персональные данные и применимые ограничения конфиденциальности"/>
                <w:tag w:val="olydefence.v3.nda-request.ru.info_scope.personal_data"/>
                <w:id w:val="238615981"/>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p>
      <w:pPr>
        <w:pStyle w:val="Heading1"/>
        <w:keepNext/>
        <w:spacing w:before="160" w:after="80" w:line="240" w:lineRule="auto"/>
        <w:jc w:val="left"/>
      </w:pPr>
      <w:r>
        <w:rPr>
          <w:rFonts w:ascii="Arial" w:hAnsi="Arial" w:eastAsia="Arial" w:cs="Arial"/>
          <w:b/>
          <w:color w:val="866A20"/>
          <w:sz w:val="25"/>
          <w:lang w:val="ru-RU" w:eastAsia="ru-RU" w:bidi="ru-RU"/>
        </w:rPr>
        <w:t>Запрошенная конфиденциальность и контроль обработки</w:t>
      </w:r>
    </w:p>
    <w:tbl>
      <w:tblPr>
        <w:tblW w:type="dxa" w:w="10106"/>
        <w:jc w:val="center"/>
        <w:tblLayout w:type="fixed"/>
        <w:tblLook w:firstColumn="1" w:firstRow="1" w:lastColumn="0" w:lastRow="0" w:noHBand="0" w:noVBand="1" w:val="04A0"/>
        <w:tblInd w:w="120" w:type="dxa"/>
        <w:tblCaption w:val="Запрошенная конфиденциальность и контроль обработки"/>
        <w:tblDescription w:val="Запрошенная конфиденциальность и контроль обработки: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Одностороннее или взаимное соглашение о неразглашении и предлагаемый владелец шаблона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дностороннее или взаимное соглашение о неразглашении и предлагаемый владелец шаблона"/>
                <w:tag w:val="olydefence.v3.nda-request.ru.terms.nda_type"/>
                <w:id w:val="1331097407"/>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Запрошенная конфиденциальность и периоды выживания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прошенная конфиденциальность и периоды выживания"/>
                <w:tag w:val="olydefence.v3.nda-request.ru.terms.confidentiality_period"/>
                <w:id w:val="453593694"/>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Контроль доступа «по необходимости», «чистая команда», «не копировать», «не загружать» и другие средства контроля доступа.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нтроль доступа «по необходимости», «чистая команда», «не копировать», «не загружать» и другие средства контроля доступа."/>
                <w:tag w:val="olydefence.v3.nda-request.ru.terms.access_controls"/>
                <w:id w:val="1702107492"/>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Утвержденная система безопасной передачи/комнаты данных и администратор</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Утвержденная система безопасной передачи/комнаты данных и администратор"/>
                <w:tag w:val="olydefence.v3.nda-request.ru.terms.secure_channel"/>
                <w:id w:val="838211914"/>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Контроль раскрытия информации аффилированным лицом, консультантом, лабораторией или субподрядчиком</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нтроль раскрытия информации аффилированным лицом, консультантом, лабораторией или субподрядчиком"/>
                <w:tag w:val="olydefence.v3.nda-request.ru.terms.onward_disclosure"/>
                <w:id w:val="228633846"/>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Требования к хранению, возврату, удалению и сертифицированному уничтожению</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Требования к хранению, возврату, удалению и сертифицированному уничтожению"/>
                <w:tag w:val="olydefence.v3.nda-request.ru.terms.retention"/>
                <w:id w:val="1000847783"/>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Запрошено регулирующее законодательство, юрисдикция и форум по спорам для юридической проверки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прошено регулирующее законодательство, юрисдикция и форум по спорам для юридической проверки"/>
                <w:tag w:val="olydefence.v3.nda-request.ru.terms.law"/>
                <w:id w:val="1027057694"/>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Существующие условия конфиденциальности, конфликты или предварительные раскрытия информации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уществующие условия конфиденциальности, конфликты или предварительные раскрытия информации"/>
                <w:tag w:val="olydefence.v3.nda-request.ru.terms.existing_terms"/>
                <w:id w:val="177672398"/>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p>
      <w:pPr>
        <w:pStyle w:val="Heading1"/>
        <w:keepNext/>
        <w:spacing w:before="160" w:after="80" w:line="240" w:lineRule="auto"/>
        <w:jc w:val="left"/>
      </w:pPr>
      <w:r>
        <w:rPr>
          <w:rFonts w:ascii="Arial" w:hAnsi="Arial" w:eastAsia="Arial" w:cs="Arial"/>
          <w:b/>
          <w:color w:val="866A20"/>
          <w:sz w:val="25"/>
          <w:lang w:val="ru-RU" w:eastAsia="ru-RU" w:bidi="ru-RU"/>
        </w:rPr>
        <w:t>Декларация и санкционированное подписание</w:t>
      </w:r>
    </w:p>
    <w:tbl>
      <w:tblPr>
        <w:tblW w:type="dxa" w:w="10106"/>
        <w:jc w:val="center"/>
        <w:tblLayout w:type="fixed"/>
        <w:tblLook w:firstColumn="1" w:firstRow="1" w:lastColumn="0" w:lastRow="0" w:noHBand="0" w:noVBand="1" w:val="04A0"/>
        <w:tblInd w:w="120" w:type="dxa"/>
        <w:tblCaption w:val="Декларация и санкционированное подписание"/>
        <w:tblDescription w:val="Я подтверждаю, что предоставленная информация является полной и точной, насколько мне известно, что я уполномочен ее предоставлять и что организация незамедлительно сообщит о существенных изменениях. Я понимаю, что подач"/>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ru-RU" w:eastAsia="ru-RU" w:bidi="ru-RU"/>
              </w:rPr>
              <w:t>Декларация и санкционированное подписание</w:t>
            </w:r>
          </w:p>
        </w:tc>
      </w:tr>
      <w:tr>
        <w:trPr>
          <w:trHeight w:hRule="atLeast"/>
          <w:cantSplit/>
        </w:trPr>
        <w:tc>
          <w:tcPr>
            <w:tcW w:type="dxa" w:w="10106"/>
            <w:tcMar>
              <w:top w:w="90" w:type="dxa"/>
              <w:start w:w="120" w:type="dxa"/>
              <w:bottom w:w="90" w:type="dxa"/>
              <w:end w:w="120" w:type="dxa"/>
            </w:tcMar>
            <w:vAlign w:val="center"/>
            <w:shd w:fill="F7F0DC" w:val="clear"/>
          </w:tcPr>
          <w:p>
            <w:pPr>
              <w:keepNext/>
              <w:spacing w:before="0" w:after="0" w:line="252" w:lineRule="auto"/>
              <w:jc w:val="left"/>
            </w:pPr>
            <w:r/>
            <w:r>
              <w:rPr>
                <w:rFonts w:ascii="Arial" w:hAnsi="Arial" w:eastAsia="Arial" w:cs="Arial"/>
                <w:color w:val="102334"/>
                <w:sz w:val="17"/>
                <w:lang w:val="ru-RU" w:eastAsia="ru-RU" w:bidi="ru-RU"/>
              </w:rPr>
              <w:t>Я подтверждаю, что предоставленная информация является полной и точной, насколько мне известно, что я уполномочен ее предоставлять и что организация незамедлительно сообщит о существенных изменениях. Я понимаю, что подача не означает одобрения, назначения, конфиденциальности, доступности, эксклюзивности, права на получение лицензии или обязательства совершать сделку.</w:t>
            </w:r>
          </w:p>
        </w:tc>
      </w:tr>
    </w:tbl>
    <w:tbl>
      <w:tblPr>
        <w:tblW w:type="dxa" w:w="10106"/>
        <w:jc w:val="center"/>
        <w:tblLayout w:type="fixed"/>
        <w:tblLook w:firstColumn="1" w:firstRow="1" w:lastColumn="0" w:lastRow="0" w:noHBand="0" w:noVBand="1" w:val="04A0"/>
        <w:tblInd w:w="120" w:type="dxa"/>
        <w:tblCaption w:val="Декларация и санкционированное подписание"/>
        <w:tblDescription w:val="Декларация и санкционированное подписание: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Уполномоченный декларант: полное имя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Уполномоченный декларант: полное имя"/>
                <w:tag w:val="olydefence.v3.nda-request.ru.declaration.declaration_name"/>
                <w:id w:val="1665673787"/>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Должность и организация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олжность и организация"/>
                <w:tag w:val="olydefence.v3.nda-request.ru.declaration.declaration_title"/>
                <w:id w:val="1913480998"/>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Основания для подачи этой формы</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снования для подачи этой формы"/>
                <w:tag w:val="olydefence.v3.nda-request.ru.declaration.declaration_basis"/>
                <w:id w:val="125931459"/>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Подпись</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дпись"/>
                <w:tag w:val="olydefence.v3.nda-request.ru.declaration.signature"/>
                <w:id w:val="850505268"/>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Дата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ата"/>
                <w:tag w:val="olydefence.v3.nda-request.ru.declaration.date"/>
                <w:id w:val="1808722608"/>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ru-RU" w:eastAsia="ru-RU" w:bidi="ru-RU"/>
            </w:rPr>
            <w:t>OLYD-FRM-NDA-001 · V3.0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ru-RU" w:eastAsia="ru-RU" w:bidi="ru-RU"/>
            </w:rPr>
            <w:t>Контролируемая деловая форма при электронном просмотре</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ru-RU" w:eastAsia="ru-RU" w:bidi="ru-RU"/>
            </w:rPr>
            <w:t xml:space="preserve">Страница </w:t>
          </w:r>
          <w:r>
            <w:rPr>
              <w:rFonts w:ascii="Arial" w:hAnsi="Arial" w:eastAsia="Arial" w:cs="Arial"/>
              <w:color w:val="526577"/>
              <w:sz w:val="16"/>
              <w:lang w:val="ru-RU" w:eastAsia="ru-RU" w:bidi="ru-RU"/>
            </w:rPr>
            <w:fldChar w:fldCharType="begin"/>
          </w:r>
          <w:r>
            <w:rPr>
              <w:rFonts w:ascii="Arial" w:hAnsi="Arial" w:eastAsia="Arial" w:cs="Arial"/>
              <w:color w:val="526577"/>
              <w:sz w:val="16"/>
              <w:lang w:val="ru-RU" w:eastAsia="ru-RU" w:bidi="ru-RU"/>
            </w:rPr>
            <w:instrText xml:space="preserve">PAGE</w:instrText>
          </w:r>
          <w:r>
            <w:rPr>
              <w:rFonts w:ascii="Arial" w:hAnsi="Arial" w:eastAsia="Arial" w:cs="Arial"/>
              <w:color w:val="526577"/>
              <w:sz w:val="16"/>
              <w:lang w:val="ru-RU" w:eastAsia="ru-RU" w:bidi="ru-RU"/>
            </w:rPr>
            <w:fldChar w:fldCharType="separate"/>
          </w:r>
          <w:r>
            <w:rPr>
              <w:rFonts w:ascii="Arial" w:hAnsi="Arial" w:eastAsia="Arial" w:cs="Arial"/>
              <w:color w:val="526577"/>
              <w:sz w:val="16"/>
              <w:lang w:val="ru-RU" w:eastAsia="ru-RU" w:bidi="ru-RU"/>
            </w:rPr>
            <w:instrText xml:space="preserve">1</w:instrText>
          </w:r>
          <w:r>
            <w:rPr>
              <w:rFonts w:ascii="Arial" w:hAnsi="Arial" w:eastAsia="Arial" w:cs="Arial"/>
              <w:color w:val="526577"/>
              <w:sz w:val="16"/>
              <w:lang w:val="ru-RU" w:eastAsia="ru-RU" w:bidi="ru-RU"/>
            </w:rPr>
            <w:fldChar w:fldCharType="end"/>
          </w:r>
          <w:r>
            <w:rPr>
              <w:rFonts w:ascii="Arial" w:hAnsi="Arial" w:eastAsia="Arial" w:cs="Arial"/>
              <w:color w:val="526577"/>
              <w:sz w:val="15"/>
              <w:lang w:val="ru-RU" w:eastAsia="ru-RU" w:bidi="ru-RU"/>
            </w:rPr>
            <w:t xml:space="preserve"> / </w:t>
          </w:r>
          <w:r>
            <w:rPr>
              <w:rFonts w:ascii="Arial" w:hAnsi="Arial" w:eastAsia="Arial" w:cs="Arial"/>
              <w:color w:val="526577"/>
              <w:sz w:val="16"/>
              <w:lang w:val="ru-RU" w:eastAsia="ru-RU" w:bidi="ru-RU"/>
            </w:rPr>
            <w:fldChar w:fldCharType="begin"/>
          </w:r>
          <w:r>
            <w:rPr>
              <w:rFonts w:ascii="Arial" w:hAnsi="Arial" w:eastAsia="Arial" w:cs="Arial"/>
              <w:color w:val="526577"/>
              <w:sz w:val="16"/>
              <w:lang w:val="ru-RU" w:eastAsia="ru-RU" w:bidi="ru-RU"/>
            </w:rPr>
            <w:instrText xml:space="preserve">NUMPAGES</w:instrText>
          </w:r>
          <w:r>
            <w:rPr>
              <w:rFonts w:ascii="Arial" w:hAnsi="Arial" w:eastAsia="Arial" w:cs="Arial"/>
              <w:color w:val="526577"/>
              <w:sz w:val="16"/>
              <w:lang w:val="ru-RU" w:eastAsia="ru-RU" w:bidi="ru-RU"/>
            </w:rPr>
            <w:fldChar w:fldCharType="separate"/>
          </w:r>
          <w:r>
            <w:rPr>
              <w:rFonts w:ascii="Arial" w:hAnsi="Arial" w:eastAsia="Arial" w:cs="Arial"/>
              <w:color w:val="526577"/>
              <w:sz w:val="16"/>
              <w:lang w:val="ru-RU" w:eastAsia="ru-RU" w:bidi="ru-RU"/>
            </w:rPr>
            <w:instrText xml:space="preserve">1</w:instrText>
          </w:r>
          <w:r>
            <w:rPr>
              <w:rFonts w:ascii="Arial" w:hAnsi="Arial" w:eastAsia="Arial" w:cs="Arial"/>
              <w:color w:val="526577"/>
              <w:sz w:val="16"/>
              <w:lang w:val="ru-RU" w:eastAsia="ru-RU" w:bidi="ru-RU"/>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DEFENCE document header"/>
      <w:tblDescription w:val="OLYDEFENCE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DEFENCE wordmark" descr="OLYDEFENCE wordmark"/>
                <wp:cNvGraphicFramePr>
                  <a:graphicFrameLocks noChangeAspect="1"/>
                </wp:cNvGraphicFramePr>
                <a:graphic>
                  <a:graphicData uri="http://schemas.openxmlformats.org/drawingml/2006/picture">
                    <pic:pic>
                      <pic:nvPicPr>
                        <pic:cNvPr id="0" name="olydefence-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ru-RU" w:eastAsia="ru-RU" w:bidi="ru-RU"/>
            </w:rPr>
            <w:t>СНАБЖЕНИЕ ДЛЯ ОБОРОНЫ, БЕЗОПАСНОСТИ И УСТОЙЧИВОСТИ</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ru-RU" w:eastAsia="ru-RU" w:bidi="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866A20"/>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ru&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запроса NDA и контролируемой информации</dc:title>
  <dc:subject>Надежное определение конфиденциальных и потенциально экспортно-контролируемых обсуждений</dc:subject>
  <dc:creator/>
  <cp:keywords>OLYDEFENCE, controlled procurement, responsible transfer, due diligence, document control</cp:keywords>
  <dc:description>Controlled OLYDEFENCE form OLYD-FRM-NDA-001 V3.0.</dc:description>
  <cp:lastModifiedBy/>
  <cp:revision>1</cp:revision>
  <dcterms:created xsi:type="dcterms:W3CDTF">2013-12-23T23:15:00Z</dcterms:created>
  <dcterms:modified xsi:type="dcterms:W3CDTF">2013-12-23T23:15:00Z</dcterms:modified>
  <cp:category/>
</cp:coreProperties>
</file>