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en-GB" w:eastAsia="en-GB" w:bidi="en-GB"/>
        </w:rPr>
        <w:t>Controlled Buyer Requirement Form</w:t>
      </w:r>
    </w:p>
    <w:p>
      <w:pPr>
        <w:pStyle w:val="Subtitle"/>
        <w:spacing w:before="0" w:after="140" w:line="240" w:lineRule="auto"/>
        <w:jc w:val="left"/>
      </w:pPr>
      <w:r>
        <w:rPr>
          <w:rFonts w:ascii="Arial" w:hAnsi="Arial" w:eastAsia="Arial" w:cs="Arial"/>
          <w:color w:val="526577"/>
          <w:sz w:val="19"/>
          <w:lang w:val="en-GB" w:eastAsia="en-GB" w:bidi="en-GB"/>
        </w:rPr>
        <w:t>Institutional defence, security, protective-equipment and field-support requirements</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en-GB" w:eastAsia="en-GB" w:bidi="en-GB"/>
              </w:rPr>
              <w:t>Document code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OLYD-FRM-CBR-001</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en-GB" w:eastAsia="en-GB" w:bidi="en-GB"/>
              </w:rPr>
              <w:t>Version / effective date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3.0 / 2 August 2026</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en-GB" w:eastAsia="en-GB" w:bidi="en-GB"/>
              </w:rPr>
              <w:t>Classification</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Controlled business form</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en-GB" w:eastAsia="en-GB" w:bidi="en-GB"/>
              </w:rPr>
              <w:t>Document owner</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OLYDEFENCE — OLYVENRA LTD</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en-GB" w:eastAsia="en-GB" w:bidi="en-GB"/>
              </w:rPr>
              <w:t>Language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English</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en-GB" w:eastAsia="en-GB" w:bidi="en-GB"/>
              </w:rPr>
              <w:t>Status</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Publication-ready / controlled master</w:t>
            </w:r>
          </w:p>
        </w:tc>
      </w:tr>
    </w:tbl>
    <w:tbl>
      <w:tblPr>
        <w:tblW w:type="dxa" w:w="10106"/>
        <w:jc w:val="center"/>
        <w:tblLayout w:type="fixed"/>
        <w:tblLook w:firstColumn="1" w:firstRow="1" w:lastColumn="0" w:lastRow="0" w:noHBand="0" w:noVBand="1" w:val="04A0"/>
        <w:tblInd w:w="120" w:type="dxa"/>
        <w:tblCaption w:val="Purpose"/>
        <w:tblDescription w:val="Use this controlled form to define a lawful, non-sensitive institutional requirement. OLYDEFENCE reviews authority, parties, final destination, end user, end use, classification, licensing, sanctions, anti-diversion cont"/>
      </w:tblPr>
      <w:tblGrid>
        <w:gridCol w:w="10106"/>
      </w:tblGrid>
      <w:tr>
        <w:trPr>
          <w:trHeight w:hRule="atLeast"/>
          <w:tblHeader/>
          <w:cantSplit/>
        </w:trPr>
        <w:tc>
          <w:tcPr>
            <w:tcW w:type="dxa" w:w="10106"/>
            <w:tcMar>
              <w:top w:w="90" w:type="dxa"/>
              <w:start w:w="120" w:type="dxa"/>
              <w:bottom w:w="90" w:type="dxa"/>
              <w:end w:w="120" w:type="dxa"/>
            </w:tcMar>
            <w:vAlign w:val="center"/>
            <w:shd w:fill="866A20" w:val="clear"/>
          </w:tcPr>
          <w:p>
            <w:pPr>
              <w:spacing w:before="0" w:after="0" w:line="240" w:lineRule="auto"/>
              <w:jc w:val="left"/>
            </w:pPr>
            <w:r/>
            <w:r>
              <w:rPr>
                <w:rFonts w:ascii="Arial" w:hAnsi="Arial" w:eastAsia="Arial" w:cs="Arial"/>
                <w:b/>
                <w:i w:val="0"/>
                <w:color w:val="FFFFFF"/>
                <w:sz w:val="18"/>
                <w:lang w:val="en-GB" w:eastAsia="en-GB" w:bidi="en-GB"/>
              </w:rPr>
              <w:t>Purpose</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left"/>
            </w:pPr>
            <w:r/>
            <w:r>
              <w:rPr>
                <w:rFonts w:ascii="Arial" w:hAnsi="Arial" w:eastAsia="Arial" w:cs="Arial"/>
                <w:color w:val="102334"/>
                <w:sz w:val="17"/>
                <w:lang w:val="en-GB" w:eastAsia="en-GB" w:bidi="en-GB"/>
              </w:rPr>
              <w:t>Use this controlled form to define a lawful, non-sensitive institutional requirement. OLYDEFENCE reviews authority, parties, final destination, end user, end use, classification, licensing, sanctions, anti-diversion controls, product evidence, logistics and lifecycle support before any commercial progression.</w:t>
            </w:r>
          </w:p>
        </w:tc>
      </w:tr>
    </w:tbl>
    <w:tbl>
      <w:tblPr>
        <w:tblW w:type="dxa" w:w="10106"/>
        <w:jc w:val="center"/>
        <w:tblLayout w:type="fixed"/>
        <w:tblLook w:firstColumn="1" w:firstRow="1" w:lastColumn="0" w:lastRow="0" w:noHBand="0" w:noVBand="1" w:val="04A0"/>
        <w:tblInd w:w="120" w:type="dxa"/>
        <w:tblCaption w:val="Completion guidance"/>
        <w:tblDescription w:val="Complete every applicable field. Use generic, non-sensitive descriptions and cite evidence by document title, issuer, number, revision and date. Mark Not applicable with a reason. OLYDEFENCE may request clarification, en"/>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en-GB" w:eastAsia="en-GB" w:bidi="en-GB"/>
              </w:rPr>
              <w:t>Completion guidance</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en-GB" w:eastAsia="en-GB" w:bidi="en-GB"/>
              </w:rPr>
              <w:t>Complete every applicable field. Use generic, non-sensitive descriptions and cite evidence by document title, issuer, number, revision and date. Mark Not applicable with a reason. OLYDEFENCE may request clarification, enhanced due diligence or a secure document-room exchange.</w:t>
            </w:r>
          </w:p>
        </w:tc>
      </w:tr>
    </w:tbl>
    <w:tbl>
      <w:tblPr>
        <w:tblW w:type="dxa" w:w="10106"/>
        <w:jc w:val="center"/>
        <w:tblLayout w:type="fixed"/>
        <w:tblLook w:firstColumn="1" w:firstRow="1" w:lastColumn="0" w:lastRow="0" w:noHBand="0" w:noVBand="1" w:val="04A0"/>
        <w:tblInd w:w="120" w:type="dxa"/>
        <w:tblCaption w:val="Privacy and secure document handling"/>
        <w:tblDescription w:val="Do not send classified information, export-controlled technical data, weapon configuration details, personal identity documents, medical records or credentials by ordinary email or this public form. Provide only referenc"/>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en-GB" w:eastAsia="en-GB" w:bidi="en-GB"/>
              </w:rPr>
              <w:t>Privacy and secure document handling</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en-GB" w:eastAsia="en-GB" w:bidi="en-GB"/>
              </w:rPr>
              <w:t>Do not send classified information, export-controlled technical data, weapon configuration details, personal identity documents, medical records or credentials by ordinary email or this public form. Provide only references until an approved secure channel and authorised recipients are confirmed.</w:t>
            </w:r>
          </w:p>
          <w:p>
            <w:pPr>
              <w:spacing w:before="60" w:after="0" w:line="240" w:lineRule="auto"/>
              <w:jc w:val="left"/>
            </w:pPr>
            <w:hyperlink r:id="rId11">
              <w:r>
                <w:rPr>
                  <w:color w:val="866A20"/>
                  <w:u w:val="single"/>
                </w:rPr>
                <w:t>Read the OLYVENRA Privacy Notice</w:t>
              </w:r>
            </w:hyperlink>
          </w:p>
        </w:tc>
      </w:tr>
    </w:tbl>
    <w:tbl>
      <w:tblPr>
        <w:tblW w:type="dxa" w:w="10106"/>
        <w:jc w:val="center"/>
        <w:tblLayout w:type="fixed"/>
        <w:tblLook w:firstColumn="1" w:firstRow="1" w:lastColumn="0" w:lastRow="0" w:noHBand="0" w:noVBand="1" w:val="04A0"/>
        <w:tblInd w:w="120" w:type="dxa"/>
        <w:tblCaption w:val="Controlled-supply and secure-information boundary"/>
        <w:tblDescription w:val="This form is not an offer, product approval, licence, end-use authorisation, legal advice or commitment to transact. Controlled items proceed only through competent authorities and lawful licensed routes. Public first-ai"/>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en-GB" w:eastAsia="en-GB" w:bidi="en-GB"/>
              </w:rPr>
              <w:t>Controlled-supply and secure-information boundary</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en-GB" w:eastAsia="en-GB" w:bidi="en-GB"/>
              </w:rPr>
              <w:t>This form is not an offer, product approval, licence, end-use authorisation, legal advice or commitment to transact. Controlled items proceed only through competent authorities and lawful licensed routes. Public first-aid kit scope excludes medicines; any medicine request must use a separate licensed channel where lawful.</w:t>
            </w:r>
          </w:p>
        </w:tc>
      </w:tr>
    </w:tbl>
    <w:p>
      <w:pPr>
        <w:pStyle w:val="Heading1"/>
        <w:keepNext/>
        <w:spacing w:before="160" w:after="80" w:line="240" w:lineRule="auto"/>
        <w:jc w:val="left"/>
      </w:pPr>
      <w:r>
        <w:rPr>
          <w:rFonts w:ascii="Arial" w:hAnsi="Arial" w:eastAsia="Arial" w:cs="Arial"/>
          <w:b/>
          <w:color w:val="866A20"/>
          <w:sz w:val="25"/>
          <w:lang w:val="en-GB" w:eastAsia="en-GB" w:bidi="en-GB"/>
        </w:rPr>
        <w:t>Organisation identity and authority</w:t>
      </w:r>
    </w:p>
    <w:tbl>
      <w:tblPr>
        <w:tblW w:type="dxa" w:w="10106"/>
        <w:jc w:val="center"/>
        <w:tblLayout w:type="fixed"/>
        <w:tblLook w:firstColumn="1" w:firstRow="1" w:lastColumn="0" w:lastRow="0" w:noHBand="0" w:noVBand="1" w:val="04A0"/>
        <w:tblInd w:w="120" w:type="dxa"/>
        <w:tblCaption w:val="Organisation identity and authority"/>
        <w:tblDescription w:val="Organisation identity and authority: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Full legal name and trading name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ull legal name and trading name"/>
                <w:tag w:val="olydefence.v3.buyer-requirement.en.identity.legal_name"/>
                <w:id w:val="156161750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Registration number, country and registered address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gistration number, country and registered address"/>
                <w:tag w:val="olydefence.v3.buyer-requirement.en.identity.registration"/>
                <w:id w:val="170931978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Corporate website and verifiable public profile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rporate website and verifiable public profile"/>
                <w:tag w:val="olydefence.v3.buyer-requirement.en.identity.website"/>
                <w:id w:val="202138468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Authorised contact: name, title, department, email and telephone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uthorised contact: name, title, department, email and telephone"/>
                <w:tag w:val="olydefence.v3.buyer-requirement.en.identity.contact"/>
                <w:id w:val="165403389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Public mandate, procurement authority or basis to represent the organisation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ublic mandate, procurement authority or basis to represent the organisation"/>
                <w:tag w:val="olydefence.v3.buyer-requirement.en.identity.authority_basis"/>
                <w:id w:val="49562609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Organisation type and role in the proposed transaction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Organisation type and role in the proposed transaction"/>
                <w:tag w:val="olydefence.v3.buyer-requirement.en.identity.organisation_type"/>
                <w:id w:val="1086884092"/>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866A20"/>
          <w:sz w:val="25"/>
          <w:lang w:val="en-GB" w:eastAsia="en-GB" w:bidi="en-GB"/>
        </w:rPr>
        <w:t>Requirement and procurement route</w:t>
      </w:r>
    </w:p>
    <w:tbl>
      <w:tblPr>
        <w:tblW w:type="dxa" w:w="10106"/>
        <w:jc w:val="center"/>
        <w:tblLayout w:type="fixed"/>
        <w:tblLook w:firstColumn="1" w:firstRow="1" w:lastColumn="0" w:lastRow="0" w:noHBand="0" w:noVBand="1" w:val="04A0"/>
        <w:tblInd w:w="120" w:type="dxa"/>
        <w:tblCaption w:val="Requirement and procurement route"/>
        <w:tblDescription w:val="Requirement and procurement rout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Tender, framework, project or opportunity reference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ender, framework, project or opportunity reference"/>
                <w:tag w:val="olydefence.v3.buyer-requirement.en.requirement.tender"/>
                <w:id w:val="170132958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Procurement route and contracting authority</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curement route and contracting authority"/>
                <w:tag w:val="olydefence.v3.buyer-requirement.en.requirement.route"/>
                <w:id w:val="140591781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Non-sensitive requirement summary and operational environment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on-sensitive requirement summary and operational environment"/>
                <w:tag w:val="olydefence.v3.buyer-requirement.en.requirement.requirement_summary"/>
                <w:id w:val="6312460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Product family or service category</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duct family or service category"/>
                <w:tag w:val="olydefence.v3.buyer-requirement.en.requirement.category"/>
                <w:id w:val="58484650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Indicative quantity, units of issue and forecast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dicative quantity, units of issue and forecast"/>
                <w:tag w:val="olydefence.v3.buyer-requirement.en.requirement.quantity"/>
                <w:id w:val="145388251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Required delivery, implementation or readiness date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quired delivery, implementation or readiness date"/>
                <w:tag w:val="olydefence.v3.buyer-requirement.en.requirement.timeline"/>
                <w:id w:val="72424111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Indicative budget/currency, if disclosable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dicative budget/currency, if disclosable"/>
                <w:tag w:val="olydefence.v3.buyer-requirement.en.requirement.budget"/>
                <w:id w:val="1549793152"/>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866A20"/>
          <w:sz w:val="25"/>
          <w:lang w:val="en-GB" w:eastAsia="en-GB" w:bidi="en-GB"/>
        </w:rPr>
        <w:t>Parties, destination, end user and end use</w:t>
      </w:r>
    </w:p>
    <w:tbl>
      <w:tblPr>
        <w:tblW w:type="dxa" w:w="10106"/>
        <w:jc w:val="center"/>
        <w:tblLayout w:type="fixed"/>
        <w:tblLook w:firstColumn="1" w:firstRow="1" w:lastColumn="0" w:lastRow="0" w:noHBand="0" w:noVBand="1" w:val="04A0"/>
        <w:tblInd w:w="120" w:type="dxa"/>
        <w:tblCaption w:val="Parties, destination, end user and end use"/>
        <w:tblDescription w:val="Parties, destination, end user and end us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Buyer and contracting entity</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uyer and contracting entity"/>
                <w:tag w:val="olydefence.v3.buyer-requirement.en.parties.buyer"/>
                <w:id w:val="179542566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Consignee, importer and delivery location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signee, importer and delivery location"/>
                <w:tag w:val="olydefence.v3.buyer-requirement.en.parties.consignee"/>
                <w:id w:val="16308589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Final end-user organisation and unit, where lawfully disclosable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inal end-user organisation and unit, where lawfully disclosable"/>
                <w:tag w:val="olydefence.v3.buyer-requirement.en.parties.end_user"/>
                <w:id w:val="52462140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Final destination country and declared location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inal destination country and declared location"/>
                <w:tag w:val="olydefence.v3.buyer-requirement.en.parties.destination"/>
                <w:id w:val="141136728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Documented intended end use and authorised user population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ocumented intended end use and authorised user population"/>
                <w:tag w:val="olydefence.v3.buyer-requirement.en.parties.intended_end_use"/>
                <w:id w:val="159792762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Custody, accountability, secure storage and issue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ustody, accountability, secure storage and issue controls"/>
                <w:tag w:val="olydefence.v3.buyer-requirement.en.parties.custody"/>
                <w:id w:val="137822216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Re-transfer, re-export, resale or onward-disclosure restrictions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transfer, re-export, resale or onward-disclosure restrictions"/>
                <w:tag w:val="olydefence.v3.buyer-requirement.en.parties.retransfer"/>
                <w:id w:val="147623698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Agents, brokers, advisers, freight parties and other intermediaries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gents, brokers, advisers, freight parties and other intermediaries"/>
                <w:tag w:val="olydefence.v3.buyer-requirement.en.parties.intermediaries"/>
                <w:id w:val="1276997546"/>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866A20"/>
          <w:sz w:val="25"/>
          <w:lang w:val="en-GB" w:eastAsia="en-GB" w:bidi="en-GB"/>
        </w:rPr>
        <w:t>Classification, licensing and responsible transfer</w:t>
      </w:r>
    </w:p>
    <w:tbl>
      <w:tblPr>
        <w:tblW w:type="dxa" w:w="10106"/>
        <w:jc w:val="center"/>
        <w:tblLayout w:type="fixed"/>
        <w:tblLook w:firstColumn="1" w:firstRow="1" w:lastColumn="0" w:lastRow="0" w:noHBand="0" w:noVBand="1" w:val="04A0"/>
        <w:tblInd w:w="120" w:type="dxa"/>
        <w:tblCaption w:val="Classification, licensing and responsible transfer"/>
        <w:tblDescription w:val="Classification, licensing and responsible transfer: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Proposed military, dual-use, firearms, PPE, medical-device, dangerous-goods or other classification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posed military, dual-use, firearms, PPE, medical-device, dangerous-goods or other classification"/>
                <w:tag w:val="olydefence.v3.buyer-requirement.en.classification.classification"/>
                <w:id w:val="37524901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Applicable control-list, customs/tariff or dangerous-goods references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pplicable control-list, customs/tariff or dangerous-goods references"/>
                <w:tag w:val="olydefence.v3.buyer-requirement.en.classification.control_codes"/>
                <w:id w:val="24202429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Export, import, transit, brokering or other licence owner and status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xport, import, transit, brokering or other licence owner and status"/>
                <w:tag w:val="olydefence.v3.buyer-requirement.en.classification.licence_owner"/>
                <w:id w:val="175962727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Applicable sanctions, embargo and restricted-party review status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pplicable sanctions, embargo and restricted-party review status"/>
                <w:tag w:val="olydefence.v3.buyer-requirement.en.classification.sanctions"/>
                <w:id w:val="84929728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Human-rights and international humanitarian law risk considerations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Human-rights and international humanitarian law risk considerations"/>
                <w:tag w:val="olydefence.v3.buyer-requirement.en.classification.human_rights"/>
                <w:id w:val="191572727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Diversion indicators, enhanced controls and escalation route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iversion indicators, enhanced controls and escalation route"/>
                <w:tag w:val="olydefence.v3.buyer-requirement.en.classification.diversion"/>
                <w:id w:val="2050529420"/>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866A20"/>
          <w:sz w:val="25"/>
          <w:lang w:val="en-GB" w:eastAsia="en-GB" w:bidi="en-GB"/>
        </w:rPr>
        <w:t>Product identity, configuration and evidence</w:t>
      </w:r>
    </w:p>
    <w:tbl>
      <w:tblPr>
        <w:tblW w:type="dxa" w:w="10106"/>
        <w:jc w:val="center"/>
        <w:tblLayout w:type="fixed"/>
        <w:tblLook w:firstColumn="1" w:firstRow="1" w:lastColumn="0" w:lastRow="0" w:noHBand="0" w:noVBand="1" w:val="04A0"/>
        <w:tblInd w:w="120" w:type="dxa"/>
        <w:tblCaption w:val="Product identity, configuration and evidence"/>
        <w:tblDescription w:val="Product identity, configuration and evidenc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Legal manufacturer, production site and authorised supply route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egal manufacturer, production site and authorised supply route"/>
                <w:tag w:val="olydefence.v3.buyer-requirement.en.product.manufacturer"/>
                <w:id w:val="79870639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Generic designation, model/configuration, part or catalogue number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eneric designation, model/configuration, part or catalogue number"/>
                <w:tag w:val="olydefence.v3.buyer-requirement.en.product.designation"/>
                <w:id w:val="28792287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Mandatory interfaces, environmental conditions and performance criteria</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andatory interfaces, environmental conditions and performance criteria"/>
                <w:tag w:val="olydefence.v3.buyer-requirement.en.product.technical_need"/>
                <w:id w:val="137457932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Current specification, test report, certificate, label and instruction references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urrent specification, test report, certificate, label and instruction references"/>
                <w:tag w:val="olydefence.v3.buyer-requirement.en.product.evidence_basis"/>
                <w:id w:val="120145793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Serial, lot or batch identification and traceability model</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erial, lot or batch identification and traceability model"/>
                <w:tag w:val="olydefence.v3.buyer-requirement.en.product.serial_lot"/>
                <w:id w:val="1502170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Approved-equivalent and substitution/change-control rules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pproved-equivalent and substitution/change-control rules"/>
                <w:tag w:val="olydefence.v3.buyer-requirement.en.product.substitution"/>
                <w:id w:val="150891270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Inspection, test, sampling and acceptance plan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spection, test, sampling and acceptance plan"/>
                <w:tag w:val="olydefence.v3.buyer-requirement.en.product.acceptance"/>
                <w:id w:val="43203302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Customer-controlled compatibility or integration requirement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ustomer-controlled compatibility or integration requirement"/>
                <w:tag w:val="olydefence.v3.buyer-requirement.en.product.compatibility"/>
                <w:id w:val="11715728"/>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866A20"/>
          <w:sz w:val="25"/>
          <w:lang w:val="en-GB" w:eastAsia="en-GB" w:bidi="en-GB"/>
        </w:rPr>
        <w:t>Ammunition-specific through-life controls, if applicable</w:t>
      </w:r>
    </w:p>
    <w:tbl>
      <w:tblPr>
        <w:tblW w:type="dxa" w:w="10106"/>
        <w:jc w:val="center"/>
        <w:tblLayout w:type="fixed"/>
        <w:tblLook w:firstColumn="1" w:firstRow="1" w:lastColumn="0" w:lastRow="0" w:noHBand="0" w:noVBand="1" w:val="04A0"/>
        <w:tblInd w:w="120" w:type="dxa"/>
        <w:tblCaption w:val="Ammunition-specific through-life controls, if applicable"/>
        <w:tblDescription w:val="Ammunition-specific through-life controls, if applicabl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Generic ammunition family, authorised platform/interface and training/service status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eneric ammunition family, authorised platform/interface and training/service status"/>
                <w:tag w:val="olydefence.v3.buyer-requirement.en.ammo.ammo_type"/>
                <w:id w:val="38449785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Manufacturer, designation, lot/batch, production date and proof/acceptance records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anufacturer, designation, lot/batch, production date and proof/acceptance records"/>
                <w:tag w:val="olydefence.v3.buyer-requirement.en.ammo.ammo_lot"/>
                <w:id w:val="18850736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Shelf life, surveillance/inspection status and remaining-life requirement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helf life, surveillance/inspection status and remaining-life requirement"/>
                <w:tag w:val="olydefence.v3.buyer-requirement.en.ammo.ammo_shelf"/>
                <w:id w:val="121276942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Dangerous-goods description, packaging instruction and transport/storage conditions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angerous-goods description, packaging instruction and transport/storage conditions"/>
                <w:tag w:val="olydefence.v3.buyer-requirement.en.ammo.ammo_dg"/>
                <w:id w:val="100412174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Accounting, stock rotation, incident, recovery and disposal responsibilities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ccounting, stock rotation, incident, recovery and disposal responsibilities"/>
                <w:tag w:val="olydefence.v3.buyer-requirement.en.ammo.ammo_disposal"/>
                <w:id w:val="2115609296"/>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866A20"/>
          <w:sz w:val="25"/>
          <w:lang w:val="en-GB" w:eastAsia="en-GB" w:bidi="en-GB"/>
        </w:rPr>
        <w:t>Protective equipment and medical-kit controls, if applicable</w:t>
      </w:r>
    </w:p>
    <w:tbl>
      <w:tblPr>
        <w:tblW w:type="dxa" w:w="10106"/>
        <w:jc w:val="center"/>
        <w:tblLayout w:type="fixed"/>
        <w:tblLook w:firstColumn="1" w:firstRow="1" w:lastColumn="0" w:lastRow="0" w:noHBand="0" w:noVBand="1" w:val="04A0"/>
        <w:tblInd w:w="120" w:type="dxa"/>
        <w:tblCaption w:val="Protective equipment and medical-kit controls, if applicable"/>
        <w:tblDescription w:val="Protective equipment and medical-kit controls, if applicabl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Defined threat/protection level and exact standard/test edition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efined threat/protection level and exact standard/test edition"/>
                <w:tag w:val="olydefence.v3.buyer-requirement.en.protective.threat"/>
                <w:id w:val="2043586538"/>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Model/configuration-specific laboratory, conformity and conditioning evidence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odel/configuration-specific laboratory, conformity and conditioning evidence"/>
                <w:tag w:val="olydefence.v3.buyer-requirement.en.protective.protective_evidence"/>
                <w:id w:val="54759169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User population, sizing, ergonomics, coverage, mass and care requirements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User population, sizing, ergonomics, coverage, mass and care requirements"/>
                <w:tag w:val="olydefence.v3.buyer-requirement.en.protective.sizing"/>
                <w:id w:val="105220462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First-aid/trauma kit type, approved contents list and trained-user protocol</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irst-aid/trauma kit type, approved contents list and trained-user protocol"/>
                <w:tag w:val="olydefence.v3.buyer-requirement.en.protective.kit_protocol"/>
                <w:id w:val="20455185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Medical-item manufacturer, device status, lot, sterility, expiry and replenishment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edical-item manufacturer, device status, lot, sterility, expiry and replenishment"/>
                <w:tag w:val="olydefence.v3.buyer-requirement.en.protective.medical_trace"/>
                <w:id w:val="86046203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Confirmation that medicines are excluded or routed separately through licensed channels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firmation that medicines are excluded or routed separately through licensed channels"/>
                <w:tag w:val="olydefence.v3.buyer-requirement.en.protective.medicine_exclusion"/>
                <w:id w:val="1427955183"/>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866A20"/>
          <w:sz w:val="25"/>
          <w:lang w:val="en-GB" w:eastAsia="en-GB" w:bidi="en-GB"/>
        </w:rPr>
        <w:t>Logistics, storage, security and lifecycle</w:t>
      </w:r>
    </w:p>
    <w:tbl>
      <w:tblPr>
        <w:tblW w:type="dxa" w:w="10106"/>
        <w:jc w:val="center"/>
        <w:tblLayout w:type="fixed"/>
        <w:tblLook w:firstColumn="1" w:firstRow="1" w:lastColumn="0" w:lastRow="0" w:noHBand="0" w:noVBand="1" w:val="04A0"/>
        <w:tblInd w:w="120" w:type="dxa"/>
        <w:tblCaption w:val="Logistics, storage, security and lifecycle"/>
        <w:tblDescription w:val="Logistics, storage, security and lifecycl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Incoterm, delivery point, schedule and receiving requirements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coterm, delivery point, schedule and receiving requirements"/>
                <w:tag w:val="olydefence.v3.buyer-requirement.en.logistics.delivery"/>
                <w:id w:val="1343765258"/>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Packaging, marking, labelling, preservation and unit-of-issue requirements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ackaging, marking, labelling, preservation and unit-of-issue requirements"/>
                <w:tag w:val="olydefence.v3.buyer-requirement.en.logistics.packaging"/>
                <w:id w:val="130561758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Transport mode, dangerous-goods responsibility, permits and security plan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ransport mode, dangerous-goods responsibility, permits and security plan"/>
                <w:tag w:val="olydefence.v3.buyer-requirement.en.logistics.transport"/>
                <w:id w:val="95633961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Storage environment, access control, inventory and condition monitoring</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torage environment, access control, inventory and condition monitoring"/>
                <w:tag w:val="olydefence.v3.buyer-requirement.en.logistics.storage"/>
                <w:id w:val="1915045928"/>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Authorised training audience, scope and competency evidence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uthorised training audience, scope and competency evidence"/>
                <w:tag w:val="olydefence.v3.buyer-requirement.en.logistics.training"/>
                <w:id w:val="7074377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Maintenance authority, inspection, calibration, tooling and return-to-service records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aintenance authority, inspection, calibration, tooling and return-to-service records"/>
                <w:tag w:val="olydefence.v3.buyer-requirement.en.logistics.maintenance"/>
                <w:id w:val="9200550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Spares, consumables, warranty, service levels and obsolescence plan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pares, consumables, warranty, service levels and obsolescence plan"/>
                <w:tag w:val="olydefence.v3.buyer-requirement.en.logistics.support"/>
                <w:id w:val="178879783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Return, demilitarisation, destruction, recycling or disposal responsibilities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turn, demilitarisation, destruction, recycling or disposal responsibilities"/>
                <w:tag w:val="olydefence.v3.buyer-requirement.en.logistics.disposal"/>
                <w:id w:val="1262203521"/>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866A20"/>
          <w:sz w:val="25"/>
          <w:lang w:val="en-GB" w:eastAsia="en-GB" w:bidi="en-GB"/>
        </w:rPr>
        <w:t>Declaration and authorised sign-off</w:t>
      </w:r>
    </w:p>
    <w:tbl>
      <w:tblPr>
        <w:tblW w:type="dxa" w:w="10106"/>
        <w:jc w:val="center"/>
        <w:tblLayout w:type="fixed"/>
        <w:tblLook w:firstColumn="1" w:firstRow="1" w:lastColumn="0" w:lastRow="0" w:noHBand="0" w:noVBand="1" w:val="04A0"/>
        <w:tblInd w:w="120" w:type="dxa"/>
        <w:tblCaption w:val="Declaration and authorised sign-off"/>
        <w:tblDescription w:val="I confirm that the information supplied is complete and accurate to the best of my knowledge, that I am authorised to submit it, and that the organisation will promptly disclose material changes. I understand that submis"/>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en-GB" w:eastAsia="en-GB" w:bidi="en-GB"/>
              </w:rPr>
              <w:t>Declaration and authorised sign-off</w:t>
            </w:r>
          </w:p>
        </w:tc>
      </w:tr>
      <w:tr>
        <w:trPr>
          <w:trHeight w:hRule="atLeast"/>
          <w:cantSplit/>
        </w:trPr>
        <w:tc>
          <w:tcPr>
            <w:tcW w:type="dxa" w:w="10106"/>
            <w:tcMar>
              <w:top w:w="90" w:type="dxa"/>
              <w:start w:w="120" w:type="dxa"/>
              <w:bottom w:w="90" w:type="dxa"/>
              <w:end w:w="120" w:type="dxa"/>
            </w:tcMar>
            <w:vAlign w:val="center"/>
            <w:shd w:fill="F7F0DC" w:val="clear"/>
          </w:tcPr>
          <w:p>
            <w:pPr>
              <w:keepNext/>
              <w:spacing w:before="0" w:after="0" w:line="252" w:lineRule="auto"/>
              <w:jc w:val="left"/>
            </w:pPr>
            <w:r/>
            <w:r>
              <w:rPr>
                <w:rFonts w:ascii="Arial" w:hAnsi="Arial" w:eastAsia="Arial" w:cs="Arial"/>
                <w:color w:val="102334"/>
                <w:sz w:val="17"/>
                <w:lang w:val="en-GB" w:eastAsia="en-GB" w:bidi="en-GB"/>
              </w:rPr>
              <w:t>I confirm that the information supplied is complete and accurate to the best of my knowledge, that I am authorised to submit it, and that the organisation will promptly disclose material changes. I understand that submission does not create approval, appointment, confidentiality, availability, exclusivity, licence eligibility or an obligation to transact.</w:t>
            </w:r>
          </w:p>
        </w:tc>
      </w:tr>
    </w:tbl>
    <w:tbl>
      <w:tblPr>
        <w:tblW w:type="dxa" w:w="10106"/>
        <w:jc w:val="center"/>
        <w:tblLayout w:type="fixed"/>
        <w:tblLook w:firstColumn="1" w:firstRow="1" w:lastColumn="0" w:lastRow="0" w:noHBand="0" w:noVBand="1" w:val="04A0"/>
        <w:tblInd w:w="120" w:type="dxa"/>
        <w:tblCaption w:val="Declaration and authorised sign-off"/>
        <w:tblDescription w:val="Declaration and authorised sign-off: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Authorised declarant: full name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uthorised declarant: full name"/>
                <w:tag w:val="olydefence.v3.buyer-requirement.en.declaration.declaration_name"/>
                <w:id w:val="66940943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Position and organisation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sition and organisation"/>
                <w:tag w:val="olydefence.v3.buyer-requirement.en.declaration.declaration_title"/>
                <w:id w:val="210259371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Basis of authority to submit this form</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asis of authority to submit this form"/>
                <w:tag w:val="olydefence.v3.buyer-requirement.en.declaration.declaration_basis"/>
                <w:id w:val="124612099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Signature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gnature"/>
                <w:tag w:val="olydefence.v3.buyer-requirement.en.declaration.signature"/>
                <w:id w:val="189902426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Date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ate"/>
                <w:tag w:val="olydefence.v3.buyer-requirement.en.declaration.date"/>
                <w:id w:val="2041897835"/>
                <w:text w:multiLine="1"/>
                <w:showingPlcHdr/>
              </w:sdtPr>
              <w:sdtContent>
                <w:r>
                  <w:rPr>
                    <w:color w:val="667985"/>
                    <w:i/>
                    <w:sz w:val="18"/>
                    <w:lang w:val="en-GB" w:eastAsia="en-GB" w:bidi="en-GB"/>
                  </w:rPr>
                  <w:t xml:space="preserve">Click or tap to enter a response. State Not applicable where relevant.</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en-GB" w:eastAsia="en-GB" w:bidi="en-GB"/>
            </w:rPr>
            <w:t>OLYD-FRM-CBR-001 · V3.0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en-GB" w:eastAsia="en-GB" w:bidi="en-GB"/>
            </w:rPr>
            <w:t>Controlled business form when viewed electronically</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en-GB" w:eastAsia="en-GB" w:bidi="en-GB"/>
            </w:rPr>
            <w:t xml:space="preserve">Page </w:t>
          </w:r>
          <w:r>
            <w:rPr>
              <w:rFonts w:ascii="Arial" w:hAnsi="Arial" w:eastAsia="Arial" w:cs="Arial"/>
              <w:color w:val="526577"/>
              <w:sz w:val="16"/>
              <w:lang w:val="en-GB" w:eastAsia="en-GB" w:bidi="en-GB"/>
            </w:rPr>
            <w:fldChar w:fldCharType="begin"/>
          </w:r>
          <w:r>
            <w:rPr>
              <w:rFonts w:ascii="Arial" w:hAnsi="Arial" w:eastAsia="Arial" w:cs="Arial"/>
              <w:color w:val="526577"/>
              <w:sz w:val="16"/>
              <w:lang w:val="en-GB" w:eastAsia="en-GB" w:bidi="en-GB"/>
            </w:rPr>
            <w:instrText xml:space="preserve">PAGE</w:instrText>
          </w:r>
          <w:r>
            <w:rPr>
              <w:rFonts w:ascii="Arial" w:hAnsi="Arial" w:eastAsia="Arial" w:cs="Arial"/>
              <w:color w:val="526577"/>
              <w:sz w:val="16"/>
              <w:lang w:val="en-GB" w:eastAsia="en-GB" w:bidi="en-GB"/>
            </w:rPr>
            <w:fldChar w:fldCharType="separate"/>
          </w:r>
          <w:r>
            <w:rPr>
              <w:rFonts w:ascii="Arial" w:hAnsi="Arial" w:eastAsia="Arial" w:cs="Arial"/>
              <w:color w:val="526577"/>
              <w:sz w:val="16"/>
              <w:lang w:val="en-GB" w:eastAsia="en-GB" w:bidi="en-GB"/>
            </w:rPr>
            <w:instrText xml:space="preserve">1</w:instrText>
          </w:r>
          <w:r>
            <w:rPr>
              <w:rFonts w:ascii="Arial" w:hAnsi="Arial" w:eastAsia="Arial" w:cs="Arial"/>
              <w:color w:val="526577"/>
              <w:sz w:val="16"/>
              <w:lang w:val="en-GB" w:eastAsia="en-GB" w:bidi="en-GB"/>
            </w:rPr>
            <w:fldChar w:fldCharType="end"/>
          </w:r>
          <w:r>
            <w:rPr>
              <w:rFonts w:ascii="Arial" w:hAnsi="Arial" w:eastAsia="Arial" w:cs="Arial"/>
              <w:color w:val="526577"/>
              <w:sz w:val="15"/>
              <w:lang w:val="en-GB" w:eastAsia="en-GB" w:bidi="en-GB"/>
            </w:rPr>
            <w:t xml:space="preserve"> / </w:t>
          </w:r>
          <w:r>
            <w:rPr>
              <w:rFonts w:ascii="Arial" w:hAnsi="Arial" w:eastAsia="Arial" w:cs="Arial"/>
              <w:color w:val="526577"/>
              <w:sz w:val="16"/>
              <w:lang w:val="en-GB" w:eastAsia="en-GB" w:bidi="en-GB"/>
            </w:rPr>
            <w:fldChar w:fldCharType="begin"/>
          </w:r>
          <w:r>
            <w:rPr>
              <w:rFonts w:ascii="Arial" w:hAnsi="Arial" w:eastAsia="Arial" w:cs="Arial"/>
              <w:color w:val="526577"/>
              <w:sz w:val="16"/>
              <w:lang w:val="en-GB" w:eastAsia="en-GB" w:bidi="en-GB"/>
            </w:rPr>
            <w:instrText xml:space="preserve">NUMPAGES</w:instrText>
          </w:r>
          <w:r>
            <w:rPr>
              <w:rFonts w:ascii="Arial" w:hAnsi="Arial" w:eastAsia="Arial" w:cs="Arial"/>
              <w:color w:val="526577"/>
              <w:sz w:val="16"/>
              <w:lang w:val="en-GB" w:eastAsia="en-GB" w:bidi="en-GB"/>
            </w:rPr>
            <w:fldChar w:fldCharType="separate"/>
          </w:r>
          <w:r>
            <w:rPr>
              <w:rFonts w:ascii="Arial" w:hAnsi="Arial" w:eastAsia="Arial" w:cs="Arial"/>
              <w:color w:val="526577"/>
              <w:sz w:val="16"/>
              <w:lang w:val="en-GB" w:eastAsia="en-GB" w:bidi="en-GB"/>
            </w:rPr>
            <w:instrText xml:space="preserve">1</w:instrText>
          </w:r>
          <w:r>
            <w:rPr>
              <w:rFonts w:ascii="Arial" w:hAnsi="Arial" w:eastAsia="Arial" w:cs="Arial"/>
              <w:color w:val="526577"/>
              <w:sz w:val="16"/>
              <w:lang w:val="en-GB" w:eastAsia="en-GB" w:bidi="en-GB"/>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DEFENCE document header"/>
      <w:tblDescription w:val="OLYDEFENCE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DEFENCE wordmark" descr="OLYDEFENCE wordmark"/>
                <wp:cNvGraphicFramePr>
                  <a:graphicFrameLocks noChangeAspect="1"/>
                </wp:cNvGraphicFramePr>
                <a:graphic>
                  <a:graphicData uri="http://schemas.openxmlformats.org/drawingml/2006/picture">
                    <pic:pic>
                      <pic:nvPicPr>
                        <pic:cNvPr id="0" name="olydefence-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en-GB" w:eastAsia="en-GB" w:bidi="en-GB"/>
            </w:rPr>
            <w:t>DEFENCE, SECURITY &amp; RESILIENCE SUPPLY</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GB" w:eastAsia="en-GB" w:bidi="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866A20"/>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en&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Controlled Buyer Requirement Form</dc:title>
  <dc:subject>Institutional defence, security, protective-equipment and field-support requirements</dc:subject>
  <dc:creator/>
  <cp:keywords>OLYDEFENCE, controlled procurement, responsible transfer, due diligence, document control</cp:keywords>
  <dc:description>Controlled OLYDEFENCE form OLYD-FRM-CBR-001 V3.0.</dc:description>
  <cp:lastModifiedBy/>
  <cp:revision>1</cp:revision>
  <dcterms:created xsi:type="dcterms:W3CDTF">2013-12-23T23:15:00Z</dcterms:created>
  <dcterms:modified xsi:type="dcterms:W3CDTF">2013-12-23T23:15:00Z</dcterms:modified>
  <cp:category/>
</cp:coreProperties>
</file>