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right"/>
        <w:bidi/>
      </w:pPr>
      <w:r>
        <w:rPr>
          <w:rFonts w:ascii="Arial" w:hAnsi="Arial" w:eastAsia="Arial" w:cs="Arial"/>
          <w:b/>
          <w:color w:val="051C2B"/>
          <w:sz w:val="42"/>
          <w:lang w:val="ar" w:eastAsia="ar" w:bidi="ar"/>
        </w:rPr>
        <w:t>نموذج تسجيل مورّد دفاعي</w:t>
      </w:r>
    </w:p>
    <w:p>
      <w:pPr>
        <w:pStyle w:val="Subtitle"/>
        <w:spacing w:before="0" w:after="140" w:line="240" w:lineRule="auto"/>
        <w:jc w:val="right"/>
        <w:bidi/>
      </w:pPr>
      <w:r>
        <w:rPr>
          <w:rFonts w:ascii="Arial" w:hAnsi="Arial" w:eastAsia="Arial" w:cs="Arial"/>
          <w:color w:val="526577"/>
          <w:sz w:val="19"/>
          <w:lang w:val="ar" w:eastAsia="ar" w:bidi="ar"/>
        </w:rPr>
        <w:t>التأهيل القائم على المخاطر للمصنعين والموردين المعتمدين والمتكاملين ومؤسسات الخدمة</w:t>
      </w:r>
    </w:p>
    <w:tbl>
      <w:tblPr>
        <w:tblW w:type="dxa" w:w="10106"/>
        <w:jc w:val="center"/>
        <w:tblLayout w:type="fixed"/>
        <w:tblLook w:firstColumn="1" w:firstRow="1" w:lastColumn="0" w:lastRow="0" w:noHBand="0" w:noVBand="1" w:val="04A0"/>
        <w:tblInd w:w="120" w:type="dxa"/>
        <w:bidiVisual/>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رمز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OLYD-FRM-DSR-001</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الإصدار / تاريخ السريان</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3.0 / 2 أغسطس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التصنيف</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نموذج أعمال خاضع للضبط</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مالك الوثيقة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اللغة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العربية</w:t>
            </w:r>
          </w:p>
        </w:tc>
        <w:tc>
          <w:tcPr>
            <w:tcW w:type="dxa" w:w="2100"/>
            <w:tcMar>
              <w:top w:w="90" w:type="dxa"/>
              <w:start w:w="120" w:type="dxa"/>
              <w:bottom w:w="90" w:type="dxa"/>
              <w:end w:w="120" w:type="dxa"/>
            </w:tcMar>
            <w:vAlign w:val="center"/>
            <w:shd w:fill="F7F0DC" w:val="clear"/>
          </w:tcPr>
          <w:p>
            <w:pPr>
              <w:spacing w:before="0" w:after="0" w:line="240" w:lineRule="auto"/>
              <w:jc w:val="right"/>
              <w:bidi/>
            </w:pPr>
            <w:r/>
            <w:r>
              <w:rPr>
                <w:rFonts w:ascii="Arial" w:hAnsi="Arial" w:eastAsia="Arial" w:cs="Arial"/>
                <w:b/>
                <w:i w:val="0"/>
                <w:color w:val="866A20"/>
                <w:sz w:val="16"/>
                <w:lang w:val="ar" w:eastAsia="ar" w:bidi="ar"/>
              </w:rPr>
              <w:t>الحالة</w:t>
            </w:r>
          </w:p>
        </w:tc>
        <w:tc>
          <w:tcPr>
            <w:tcW w:type="dxa" w:w="2953"/>
            <w:tcMar>
              <w:top w:w="90" w:type="dxa"/>
              <w:start w:w="120" w:type="dxa"/>
              <w:bottom w:w="90" w:type="dxa"/>
              <w:end w:w="120" w:type="dxa"/>
            </w:tcMar>
            <w:vAlign w:val="center"/>
            <w:shd w:fill="FFFFFF" w:val="clear"/>
          </w:tcPr>
          <w:p>
            <w:pPr>
              <w:spacing w:before="0" w:after="0" w:line="240" w:lineRule="auto"/>
              <w:jc w:val="right"/>
              <w:bidi/>
            </w:pPr>
            <w:r/>
            <w:r>
              <w:rPr>
                <w:rFonts w:ascii="Arial" w:hAnsi="Arial" w:eastAsia="Arial" w:cs="Arial"/>
                <w:b w:val="0"/>
                <w:i w:val="0"/>
                <w:color w:val="102334"/>
                <w:sz w:val="16"/>
                <w:lang w:val="ar" w:eastAsia="ar" w:bidi="ar"/>
              </w:rPr>
              <w:t>جاهز للنشر / نسخة أصلية خاضعة للضبط</w:t>
            </w:r>
          </w:p>
        </w:tc>
      </w:tr>
    </w:tbl>
    <w:tbl>
      <w:tblPr>
        <w:tblW w:type="dxa" w:w="10106"/>
        <w:jc w:val="center"/>
        <w:tblLayout w:type="fixed"/>
        <w:tblLook w:firstColumn="1" w:firstRow="1" w:lastColumn="0" w:lastRow="0" w:noHBand="0" w:noVBand="1" w:val="04A0"/>
        <w:tblInd w:w="120" w:type="dxa"/>
        <w:bidiVisual/>
        <w:tblCaption w:val="الغرض"/>
        <w:tblDescription w:val="استخدم هذا النموذج للتأهيل الأولي أو التجديد الدوري لمورد OLYDEFENCE المقترح. لا يشكل التسجيل موافقة أو تمثيلاً أو حصرية أو التزامًا بالشراء. يتناسب عمق المراجعة مع المنتج والولاية القضائية والوجهة والدور وحساسية المعلوم"/>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right"/>
              <w:bidi/>
            </w:pPr>
            <w:r/>
            <w:r>
              <w:rPr>
                <w:rFonts w:ascii="Arial" w:hAnsi="Arial" w:eastAsia="Arial" w:cs="Arial"/>
                <w:b/>
                <w:i w:val="0"/>
                <w:color w:val="FFFFFF"/>
                <w:sz w:val="18"/>
                <w:lang w:val="ar" w:eastAsia="ar" w:bidi="ar"/>
              </w:rPr>
              <w:t>الغرض</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bidi/>
            </w:pPr>
            <w:r/>
            <w:r>
              <w:rPr>
                <w:rFonts w:ascii="Arial" w:hAnsi="Arial" w:eastAsia="Arial" w:cs="Arial"/>
                <w:color w:val="102334"/>
                <w:sz w:val="17"/>
                <w:lang w:val="ar" w:eastAsia="ar" w:bidi="ar"/>
              </w:rPr>
              <w:t>استخدم هذا النموذج للتأهيل الأولي أو التجديد الدوري لمورد OLYDEFENCE المقترح. لا يشكل التسجيل موافقة أو تمثيلاً أو حصرية أو التزامًا بالشراء. يتناسب عمق المراجعة مع المنتج والولاية القضائية والوجهة والدور وحساسية المعلومات.</w:t>
            </w:r>
          </w:p>
        </w:tc>
      </w:tr>
    </w:tbl>
    <w:tbl>
      <w:tblPr>
        <w:tblW w:type="dxa" w:w="10106"/>
        <w:jc w:val="center"/>
        <w:tblLayout w:type="fixed"/>
        <w:tblLook w:firstColumn="1" w:firstRow="1" w:lastColumn="0" w:lastRow="0" w:noHBand="0" w:noVBand="1" w:val="04A0"/>
        <w:tblInd w:w="120" w:type="dxa"/>
        <w:bidiVisual/>
        <w:tblCaption w:val="تعليمات الإكمال"/>
        <w:tblDescription w:val="أكمل كل الحقول المعمول بها. استخدم أوصافًا عامة وغير حساسة واستشهد بالأدلة حسب عنوان المستند ومصدره ورقمه ومراجعته وتاريخه. ضع علامة &quot;غير قابل للتطبيق&quot; لسبب ما. قد تطلب OLYDEFENCE توضيحًا أو العناية الواجبة المعززة أو تب"/>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تعليمات الإكمال</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أكمل كل الحقول المعمول بها. استخدم أوصافًا عامة وغير حساسة واستشهد بالأدلة حسب عنوان المستند ومصدره ورقمه ومراجعته وتاريخه. ضع علامة "غير قابل للتطبيق" لسبب ما. قد تطلب OLYDEFENCE توضيحًا أو العناية الواجبة المعززة أو تبادلًا آمنًا لغرفة المستندات.</w:t>
            </w:r>
          </w:p>
        </w:tc>
      </w:tr>
    </w:tbl>
    <w:tbl>
      <w:tblPr>
        <w:tblW w:type="dxa" w:w="10106"/>
        <w:jc w:val="center"/>
        <w:tblLayout w:type="fixed"/>
        <w:tblLook w:firstColumn="1" w:firstRow="1" w:lastColumn="0" w:lastRow="0" w:noHBand="0" w:noVBand="1" w:val="04A0"/>
        <w:tblInd w:w="120" w:type="dxa"/>
        <w:bidiVisual/>
        <w:tblCaption w:val="الخصوصية والتعامل الآمن مع الوثائق"/>
        <w:tblDescription w:val="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8"/>
                <w:lang w:val="ar" w:eastAsia="ar" w:bidi="ar"/>
              </w:rPr>
              <w:t>الخصوصية والتعامل الآمن مع الوثائق</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right"/>
              <w:bidi/>
            </w:pPr>
            <w:r/>
            <w:r>
              <w:rPr>
                <w:rFonts w:ascii="Arial" w:hAnsi="Arial" w:eastAsia="Arial" w:cs="Arial"/>
                <w:color w:val="102334"/>
                <w:sz w:val="17"/>
                <w:lang w:val="ar" w:eastAsia="ar" w:bidi="ar"/>
              </w:rPr>
              <w:t>لا ترسل معلومات سرية أو بيانات فنية خاضعة لرقابة التصدير أو تفاصيل تكوين الأسلحة أو وثائق الهوية الشخصية أو السجلات الطبية أو بيانات الاعتماد عن طريق البريد الإلكتروني العادي أو هذا النموذج العام. قم بتوفير المراجع فقط حتى يتم تأكيد القناة الآمنة المعتمدة والمستلمين المعتمدين.</w:t>
            </w:r>
          </w:p>
          <w:p>
            <w:pPr>
              <w:spacing w:before="60" w:after="0" w:line="240" w:lineRule="auto"/>
              <w:jc w:val="right"/>
              <w:bidi/>
            </w:pPr>
            <w:hyperlink r:id="rId11">
              <w:r>
                <w:rPr>
                  <w:color w:val="866A20"/>
                  <w:u w:val="single"/>
                </w:rPr>
                <w:t>اقرأ إشعار الخصوصية لدى OLYVENRA</w:t>
              </w:r>
            </w:hyperlink>
          </w:p>
        </w:tc>
      </w:tr>
    </w:tbl>
    <w:tbl>
      <w:tblPr>
        <w:tblW w:type="dxa" w:w="10106"/>
        <w:jc w:val="center"/>
        <w:tblLayout w:type="fixed"/>
        <w:tblLook w:firstColumn="1" w:firstRow="1" w:lastColumn="0" w:lastRow="0" w:noHBand="0" w:noVBand="1" w:val="04A0"/>
        <w:tblInd w:w="120" w:type="dxa"/>
        <w:bidiVisual/>
        <w:tblCaption w:val="حدود التوريد الخاضع للضبط والمعلومات الآمنة"/>
        <w:tblDescription w:val="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right"/>
              <w:bidi/>
            </w:pPr>
            <w:r/>
            <w:r>
              <w:rPr>
                <w:rFonts w:ascii="Arial" w:hAnsi="Arial" w:eastAsia="Arial" w:cs="Arial"/>
                <w:b/>
                <w:i w:val="0"/>
                <w:color w:val="FFFFFF"/>
                <w:sz w:val="18"/>
                <w:lang w:val="ar" w:eastAsia="ar" w:bidi="ar"/>
              </w:rPr>
              <w:t>حدود التوريد الخاضع للضبط والمعلومات الآمنة</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right"/>
              <w:bidi/>
            </w:pPr>
            <w:r/>
            <w:r>
              <w:rPr>
                <w:rFonts w:ascii="Arial" w:hAnsi="Arial" w:eastAsia="Arial" w:cs="Arial"/>
                <w:color w:val="102334"/>
                <w:sz w:val="17"/>
                <w:lang w:val="ar" w:eastAsia="ar" w:bidi="ar"/>
              </w:rPr>
              <w:t>لا يعد هذا النموذج عرضًا أو موافقة على المنتج أو ترخيصًا أو ترخيصًا للاستخدام النهائي أو نصيحة قانونية أو التزامًا بالمعاملة. لا يتم المضي قدمًا في المواد الخاضعة للرقابة إلا من خلال السلطات المختصة والطرق القانونية المرخصة. نطاق مجموعة الإسعافات الأولية العامة لا يشمل الأدوية؛ يجب أن يستخدم أي طلب دواء قناة مرخصة منفصلة عندما يكون ذلك قانونيًا.</w:t>
            </w:r>
          </w:p>
        </w:tc>
      </w:tr>
    </w:tbl>
    <w:p>
      <w:pPr>
        <w:pStyle w:val="Heading1"/>
        <w:spacing w:before="160" w:after="80" w:line="240" w:lineRule="auto"/>
        <w:jc w:val="right"/>
        <w:keepNext/>
        <w:bidi/>
      </w:pPr>
      <w:r>
        <w:rPr>
          <w:rFonts w:ascii="Arial" w:hAnsi="Arial" w:eastAsia="Arial" w:cs="Arial"/>
          <w:b/>
          <w:color w:val="866A20"/>
          <w:sz w:val="25"/>
          <w:lang w:val="ar" w:eastAsia="ar" w:bidi="ar"/>
        </w:rPr>
        <w:t>الهوية القانونية والملكية والدور المصرح به</w:t>
      </w:r>
    </w:p>
    <w:tbl>
      <w:tblPr>
        <w:tblW w:type="dxa" w:w="10106"/>
        <w:jc w:val="center"/>
        <w:tblLayout w:type="fixed"/>
        <w:tblLook w:firstColumn="1" w:firstRow="1" w:lastColumn="0" w:lastRow="0" w:noHBand="0" w:noVBand="1" w:val="04A0"/>
        <w:tblInd w:w="120" w:type="dxa"/>
        <w:bidiVisual/>
        <w:tblCaption w:val="الهوية القانونية والملكية والدور المصرح به"/>
        <w:tblDescription w:val="الهوية القانونية والملكية والدور المصرح به: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الاسم القانوني الكامل والاسم التجاري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اسم القانوني الكامل والاسم التجاري"/>
                <w:tag w:val="olydefence.v3.supplier-registration.ar.company.legal_name"/>
                <w:id w:val="153715626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رقم التسجيل والبلد والعنوان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رقم التسجيل والبلد والعنوان المسجل"/>
                <w:tag w:val="olydefence.v3.supplier-registration.ar.company.registration"/>
                <w:id w:val="80819636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موقع الشركة والملف الشخصي العام الذي يمكن التحقق منه</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وقع الشركة والملف الشخصي العام الذي يمكن التحقق منه"/>
                <w:tag w:val="olydefence.v3.supplier-registration.ar.company.website"/>
                <w:id w:val="143139843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جهة الاتصال المعتمدة: الاسم والمسمى الوظيفي والقسم والبريد الإلكتروني والهاتف</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هة الاتصال المعتمدة: الاسم والمسمى الوظيفي والقسم والبريد الإلكتروني والهاتف"/>
                <w:tag w:val="olydefence.v3.supplier-registration.ar.company.contact"/>
                <w:id w:val="33853480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المالكون المستفيدون النهائيون ونسب الملكية وملكية/سيطرة الحكومة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الكون المستفيدون النهائيون ونسب الملكية وملكية/سيطرة الحكومة"/>
                <w:tag w:val="olydefence.v3.supplier-registration.ar.company.ownership"/>
                <w:id w:val="118694353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المديرون والمسؤولون والمفوضون بالتوقيع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ديرون والمسؤولون والمفوضون بالتوقيع"/>
                <w:tag w:val="olydefence.v3.supplier-registration.ar.company.directors"/>
                <w:id w:val="35646876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مواقع التسجيل والتصنيع والتخزين والخدمات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واقع التسجيل والتصنيع والتخزين والخدمات"/>
                <w:tag w:val="olydefence.v3.supplier-registration.ar.company.sites"/>
                <w:id w:val="148981728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نطاق المنتج ومصدره وسلطة السلع الخاضعة للرقابة</w:t>
      </w:r>
    </w:p>
    <w:tbl>
      <w:tblPr>
        <w:tblW w:type="dxa" w:w="10106"/>
        <w:jc w:val="center"/>
        <w:tblLayout w:type="fixed"/>
        <w:tblLook w:firstColumn="1" w:firstRow="1" w:lastColumn="0" w:lastRow="0" w:noHBand="0" w:noVBand="1" w:val="04A0"/>
        <w:tblInd w:w="120" w:type="dxa"/>
        <w:bidiVisual/>
        <w:tblCaption w:val="نطاق المنتج ومصدره وسلطة السلع الخاضعة للرقابة"/>
        <w:tblDescription w:val="نطاق المنتج ومصدره وسلطة السلع الخاضعة للرقاب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الشركة المصنعة أو المورد المعتمد أو المتكامل أو المشرف أو دور الخدمة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ركة المصنعة أو المورد المعتمد أو المتكامل أو المشرف أو دور الخدمة"/>
                <w:tag w:val="olydefence.v3.supplier-registration.ar.scope.supplier_role"/>
                <w:id w:val="168107456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التراخيص الحالية والتسجيلات ومواعيد OEM والأقاليم المعتمدة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راخيص الحالية والتسجيلات ومواعيد OEM والأقاليم المعتمدة"/>
                <w:tag w:val="olydefence.v3.supplier-registration.ar.scope.authorisations"/>
                <w:id w:val="87288543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يتم تقديم عائلات المنتجات/الخدمات الخاضعة للرقابة وغير الخاضعة للرقابة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يتم تقديم عائلات المنتجات/الخدمات الخاضعة للرقابة وغير الخاضعة للرقابة"/>
                <w:tag w:val="olydefence.v3.supplier-registration.ar.scope.product_scope"/>
                <w:id w:val="189994264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NCAGE/CAGE أو NSN أو القدرة على الترميز، حيثما ينطبق ذلك تعاقديًا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NCAGE/CAGE أو NSN أو القدرة على الترميز، حيثما ينطبق ذلك تعاقديًا"/>
                <w:tag w:val="olydefence.v3.supplier-registration.ar.scope.ncage_nsn"/>
                <w:id w:val="127130304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الشركة المصنعة القانونية وموقع الإنتاج وطريق التوريد المعتمد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ركة المصنعة القانونية وموقع الإنتاج وطريق التوريد المعتمد"/>
                <w:tag w:val="olydefence.v3.supplier-registration.ar.scope.manufacturer"/>
                <w:id w:val="45170632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المقاولون من الباطن ومقدمو الخدمات وضوابط التدفق</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قاولون من الباطن ومقدمو الخدمات وضوابط التدفق"/>
                <w:tag w:val="olydefence.v3.supplier-registration.ar.scope.subcontractors"/>
                <w:id w:val="93287218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الجودة والأدلة ومراقبة التكوين</w:t>
      </w:r>
    </w:p>
    <w:tbl>
      <w:tblPr>
        <w:tblW w:type="dxa" w:w="10106"/>
        <w:jc w:val="center"/>
        <w:tblLayout w:type="fixed"/>
        <w:tblLook w:firstColumn="1" w:firstRow="1" w:lastColumn="0" w:lastRow="0" w:noHBand="0" w:noVBand="1" w:val="04A0"/>
        <w:tblInd w:w="120" w:type="dxa"/>
        <w:bidiVisual/>
        <w:tblCaption w:val="الجودة والأدلة ومراقبة التكوين"/>
        <w:tblDescription w:val="الجودة والأدلة ومراقبة التكوين: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نطاق نظام إدارة الجودة والشهادات والجهات المصدرة لها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طاق نظام إدارة الجودة والشهادات والجهات المصدرة لها"/>
                <w:tag w:val="olydefence.v3.supplier-registration.ar.quality.qms"/>
                <w:id w:val="96993506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AQAP أو متطلبات الجودة الخاصة بالعميل، حيثما ينطبق ذلك تعاقديًا</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AQAP أو متطلبات الجودة الخاصة بالعميل، حيثما ينطبق ذلك تعاقديًا"/>
                <w:tag w:val="olydefence.v3.supplier-registration.ar.quality.aqap"/>
                <w:id w:val="73895491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مختبرات الاختبار ونطاق الاعتماد وضوابط التقرير الحالي</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ختبرات الاختبار ونطاق الاعتماد وضوابط التقرير الحالي"/>
                <w:tag w:val="olydefence.v3.supplier-registration.ar.quality.test_labs"/>
                <w:id w:val="82139945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خط الأساس للتكوين والتحكم في الرسم/المواصفات وإخطار التغيير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خط الأساس للتكوين والتحكم في الرسم/المواصفات وإخطار التغيير"/>
                <w:tag w:val="olydefence.v3.supplier-registration.ar.quality.configuration"/>
                <w:id w:val="71538680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تحديد المصدر، وتجنب التزييف، وضوابط القناة المسموح بها، والعناصر المشبوهة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حديد المصدر، وتجنب التزييف، وضوابط القناة المسموح بها، والعناصر المشبوهة"/>
                <w:tag w:val="olydefence.v3.supplier-registration.ar.quality.counterfeit"/>
                <w:id w:val="131552456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سلطة التفتيش والتفتيش النهائي والإصدار قيد التشغيل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سلطة التفتيش والتفتيش النهائي والإصدار قيد التشغيل"/>
                <w:tag w:val="olydefence.v3.supplier-registration.ar.quality.inspection"/>
                <w:id w:val="60104358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عدم المطابقة والامتياز/الانحراف وعملية الإجراءات التصحيحية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دم المطابقة والامتياز/الانحراف وعملية الإجراءات التصحيحية"/>
                <w:tag w:val="olydefence.v3.supplier-registration.ar.quality.nonconformance"/>
                <w:id w:val="114422004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إمكانية التتبع وعدم المطابقة ودعم دورة الحياة</w:t>
      </w:r>
    </w:p>
    <w:tbl>
      <w:tblPr>
        <w:tblW w:type="dxa" w:w="10106"/>
        <w:jc w:val="center"/>
        <w:tblLayout w:type="fixed"/>
        <w:tblLook w:firstColumn="1" w:firstRow="1" w:lastColumn="0" w:lastRow="0" w:noHBand="0" w:noVBand="1" w:val="04A0"/>
        <w:tblInd w:w="120" w:type="dxa"/>
        <w:bidiVisual/>
        <w:tblCaption w:val="إمكانية التتبع وعدم المطابقة ودعم دورة الحياة"/>
        <w:tblDescription w:val="إمكانية التتبع وعدم المطابقة ودعم دورة الحيا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نموذج تحديد التسلسل أو الدفعة أو الدفعة وإمكانية التتبع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موذج تحديد التسلسل أو الدفعة أو الدفعة وإمكانية التتبع"/>
                <w:tag w:val="olydefence.v3.supplier-registration.ar.traceability.serial_lot"/>
                <w:id w:val="153281333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السجلات التسلسلية/السجلات وفترة الاحتفاظ والوصول إلى إمكانية تتبع العملاء</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سجلات التسلسلية/السجلات وفترة الاحتفاظ والوصول إلى إمكانية تتبع العملاء"/>
                <w:tag w:val="olydefence.v3.supplier-registration.ar.traceability.records"/>
                <w:id w:val="11654182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عملية الشكوى والحادث والعمل الميداني والاستدعاء وإخطار العميل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عملية الشكوى والحادث والعمل الميداني والاستدعاء وإخطار العميل"/>
                <w:tag w:val="olydefence.v3.supplier-registration.ar.traceability.complaints"/>
                <w:id w:val="144269335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ضوابط الرف/مدة الخدمة والتخزين والفحص وتدوير المخزون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ضوابط الرف/مدة الخدمة والتخزين والفحص وتدوير المخزون"/>
                <w:tag w:val="olydefence.v3.supplier-registration.ar.traceability.shelf_life"/>
                <w:id w:val="123913488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وضع النقل ومسؤولية البضائع الخطرة والتصاريح والخطة الأمنية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وضع النقل ومسؤولية البضائع الخطرة والتصاريح والخطة الأمنية"/>
                <w:tag w:val="olydefence.v3.supplier-registration.ar.traceability.transport"/>
                <w:id w:val="833983404"/>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بيئة التخزين والتحكم في الوصول والمخزون ومراقبة الحالة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بيئة التخزين والتحكم في الوصول والمخزون ومراقبة الحالة"/>
                <w:tag w:val="olydefence.v3.supplier-registration.ar.traceability.storage"/>
                <w:id w:val="131741232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جمهور التدريب المعتمد والنطاق وأدلة الكفاءة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جمهور التدريب المعتمد والنطاق وأدلة الكفاءة"/>
                <w:tag w:val="olydefence.v3.supplier-registration.ar.traceability.training"/>
                <w:id w:val="48332568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سلطة الصيانة والتفتيش والمعايرة والأدوات وسجلات العودة إلى الخدمة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سلطة الصيانة والتفتيش والمعايرة والأدوات وسجلات العودة إلى الخدمة"/>
                <w:tag w:val="olydefence.v3.supplier-registration.ar.traceability.maintenance"/>
                <w:id w:val="214711547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قطع الغيار والإصلاح والمعايرة والمنشورات الفنية والقدرة على التقادم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قطع الغيار والإصلاح والمعايرة والمنشورات الفنية والقدرة على التقادم"/>
                <w:tag w:val="olydefence.v3.supplier-registration.ar.traceability.lifecycle"/>
                <w:id w:val="84787901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المنتج والأدلة المهنية وأدلة التأمين الأخرى ذات الصلة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نتج والأدلة المهنية وأدلة التأمين الأخرى ذات الصلة"/>
                <w:tag w:val="olydefence.v3.supplier-registration.ar.traceability.insurance"/>
                <w:id w:val="79332309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النزاهة والعقوبات وحقوق الإنسان وأمن المعلومات</w:t>
      </w:r>
    </w:p>
    <w:tbl>
      <w:tblPr>
        <w:tblW w:type="dxa" w:w="10106"/>
        <w:jc w:val="center"/>
        <w:tblLayout w:type="fixed"/>
        <w:tblLook w:firstColumn="1" w:firstRow="1" w:lastColumn="0" w:lastRow="0" w:noHBand="0" w:noVBand="1" w:val="04A0"/>
        <w:tblInd w:w="120" w:type="dxa"/>
        <w:bidiVisual/>
        <w:tblCaption w:val="النزاهة والعقوبات وحقوق الإنسان وأمن المعلومات"/>
        <w:tblDescription w:val="النزاهة والعقوبات وحقوق الإنسان وأمن المعلومات: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العقوبات المطبقة والحظر وحالة المراجعة للأطراف المقيدة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قوبات المطبقة والحظر وحالة المراجعة للأطراف المقيدة"/>
                <w:tag w:val="olydefence.v3.supplier-registration.ar.integrity.sanctions"/>
                <w:id w:val="115703460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مكافحة الرشوة والهدايا وتسهيل الدفع وضوابط الطرف الثالث</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كافحة الرشوة والهدايا وتسهيل الدفع وضوابط الطرف الثالث"/>
                <w:tag w:val="olydefence.v3.supplier-registration.ar.integrity.anti_bribery"/>
                <w:id w:val="1746653543"/>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الوكلاء والوسطاء والعمولات ورسوم النجاح ومستلمو الدفع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كلاء والوسطاء والعمولات ورسوم النجاح ومستلمو الدفع"/>
                <w:tag w:val="olydefence.v3.supplier-registration.ar.integrity.fees"/>
                <w:id w:val="1897410842"/>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العقوبات أو الحرمان أو انتهاكات مراقبة الصادرات أو التحقيقات أو تاريخ الإنفاذ</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قوبات أو الحرمان أو انتهاكات مراقبة الصادرات أو التحقيقات أو تاريخ الإنفاذ"/>
                <w:tag w:val="olydefence.v3.supplier-registration.ar.integrity.sanctions_history"/>
                <w:id w:val="117974739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تضارب المصالح والعلاقات الحكومية الفعلية أو المحتملة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تضارب المصالح والعلاقات الحكومية الفعلية أو المحتملة"/>
                <w:tag w:val="olydefence.v3.supplier-registration.ar.integrity.conflicts"/>
                <w:id w:val="157526577"/>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سياسة بذل العناية الواجبة في مجال حقوق الإنسان/القانون الدولي الإنساني وعملية التصعيد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سياسة بذل العناية الواجبة في مجال حقوق الإنسان/القانون الدولي الإنساني وعملية التصعيد"/>
                <w:tag w:val="olydefence.v3.supplier-registration.ar.integrity.ihl_policy"/>
                <w:id w:val="139335691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العمل القسري، وعمالة الأطفال، والعبودية الحديثة، وضوابط المعادن المسؤولة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عمل القسري، وعمالة الأطفال، والعبودية الحديثة، وضوابط المعادن المسؤولة"/>
                <w:tag w:val="olydefence.v3.supplier-registration.ar.integrity.labour"/>
                <w:id w:val="186838143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إطار عمل أمن المعلومات والحوادث وحماية البيانات الفنية الخاضعة للرقابة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إطار عمل أمن المعلومات والحوادث وحماية البيانات الفنية الخاضعة للرقابة"/>
                <w:tag w:val="olydefence.v3.supplier-registration.ar.integrity.cyber"/>
                <w:id w:val="108607391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الوضع المالي والإعسار والمسائل المستمرة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وضع المالي والإعسار والمسائل المستمرة"/>
                <w:tag w:val="olydefence.v3.supplier-registration.ar.integrity.financial"/>
                <w:id w:val="8582268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قائمة التحقق من الأدلة الداعمة</w:t>
      </w:r>
    </w:p>
    <w:tbl>
      <w:tblPr>
        <w:tblW w:type="dxa" w:w="10106"/>
        <w:jc w:val="center"/>
        <w:tblLayout w:type="fixed"/>
        <w:tblLook w:firstColumn="1" w:firstRow="1" w:lastColumn="0" w:lastRow="0" w:noHBand="0" w:noVBand="1" w:val="04A0"/>
        <w:tblInd w:w="120" w:type="dxa"/>
        <w:bidiVisual/>
        <w:tblCaption w:val="قائمة التحقق من الأدلة الداعمة"/>
        <w:tblDescription w:val="قائمة التحقق من الأدلة الداعم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مستخرج التسجيل والتسجيل الضريبي وأدلة العنوان المسجل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ستخرج التسجيل والتسجيل الضريبي وأدلة العنوان المسجل"/>
                <w:tag w:val="olydefence.v3.supplier-registration.ar.evidence.registration_evidence"/>
                <w:id w:val="166977018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مخطط الملكية وأدلة هوية المالك المستفيد</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خطط الملكية وأدلة هوية المالك المستفيد"/>
                <w:tag w:val="olydefence.v3.supplier-registration.ar.evidence.ownership_evidence"/>
                <w:id w:val="121223949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التراخيص الحالية والتسجيلات والتفويضات وخطابات التعيين</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راخيص الحالية والتسجيلات والتفويضات وخطابات التعيين"/>
                <w:tag w:val="olydefence.v3.supplier-registration.ar.evidence.licence_evidence"/>
                <w:id w:val="1027768670"/>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الشهادات وملخص التدقيق والاعتماد وأدلة اختبار المنتج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شهادات وملخص التدقيق والاعتماد وأدلة اختبار المنتج"/>
                <w:tag w:val="olydefence.v3.supplier-registration.ar.evidence.quality_evidence"/>
                <w:id w:val="141274263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نموذج لعلم الأنساب التسلسلي/الدفعة والشهادة وسجل الإصدار</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نموذج لعلم الأنساب التسلسلي/الدفعة والشهادة وسجل الإصدار"/>
                <w:tag w:val="olydefence.v3.supplier-registration.ar.evidence.trace_evidence"/>
                <w:id w:val="9323682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مكافحة الرشوة، والعقوبات، وحقوق الإنسان/القانون الدولي الإنساني، وسياسات سلسلة التوريد وأمن المعلومات</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مكافحة الرشوة، والعقوبات، وحقوق الإنسان/القانون الدولي الإنساني، وسياسات سلسلة التوريد وأمن المعلومات"/>
                <w:tag w:val="olydefence.v3.supplier-registration.ar.evidence.policy_evidence"/>
                <w:id w:val="4502010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اثنان من العملاء المؤسسيين أو المراجع المهنية ذات الصلة</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ثنان من العملاء المؤسسيين أو المراجع المهنية ذات الصلة"/>
                <w:tag w:val="olydefence.v3.supplier-registration.ar.evidence.references"/>
                <w:id w:val="13325702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p>
      <w:pPr>
        <w:pStyle w:val="Heading1"/>
        <w:spacing w:before="160" w:after="80" w:line="240" w:lineRule="auto"/>
        <w:jc w:val="right"/>
        <w:keepNext/>
        <w:bidi/>
      </w:pPr>
      <w:r>
        <w:rPr>
          <w:rFonts w:ascii="Arial" w:hAnsi="Arial" w:eastAsia="Arial" w:cs="Arial"/>
          <w:b/>
          <w:color w:val="866A20"/>
          <w:sz w:val="25"/>
          <w:lang w:val="ar" w:eastAsia="ar" w:bidi="ar"/>
        </w:rPr>
        <w:t>الإقرار والتوقيع المعتمد</w:t>
      </w:r>
    </w:p>
    <w:tbl>
      <w:tblPr>
        <w:tblW w:type="dxa" w:w="10106"/>
        <w:jc w:val="center"/>
        <w:tblLayout w:type="fixed"/>
        <w:tblLook w:firstColumn="1" w:firstRow="1" w:lastColumn="0" w:lastRow="0" w:noHBand="0" w:noVBand="1" w:val="04A0"/>
        <w:tblInd w:w="120" w:type="dxa"/>
        <w:bidiVisual/>
        <w:tblCaption w:val="الإقرار والتوقيع المعتمد"/>
        <w:tblDescription w:val="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right"/>
              <w:keepNext/>
              <w:bidi/>
            </w:pPr>
            <w:r/>
            <w:r>
              <w:rPr>
                <w:rFonts w:ascii="Arial" w:hAnsi="Arial" w:eastAsia="Arial" w:cs="Arial"/>
                <w:b/>
                <w:i w:val="0"/>
                <w:color w:val="FFFFFF"/>
                <w:sz w:val="18"/>
                <w:lang w:val="ar" w:eastAsia="ar" w:bidi="ar"/>
              </w:rPr>
              <w:t>الإقرار والتوقيع المعتمد</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right"/>
              <w:keepNext/>
              <w:bidi/>
            </w:pPr>
            <w:r/>
            <w:r>
              <w:rPr>
                <w:rFonts w:ascii="Arial" w:hAnsi="Arial" w:eastAsia="Arial" w:cs="Arial"/>
                <w:color w:val="102334"/>
                <w:sz w:val="17"/>
                <w:lang w:val="ar" w:eastAsia="ar" w:bidi="ar"/>
              </w:rPr>
              <w:t>أؤكد أن المعلومات المقدمة كاملة ودقيقة على حد علمي، وأنني مفوض بتقديمها، وأن المنظمة سوف تكشف على الفور عن التغييرات الجوهرية. أدرك أن التقديم لا يؤدي إلى الموافقة أو التعيين أو السرية أو التوفر أو التفرد أو أهلية الترخيص أو الالتزام بالمعاملة.</w:t>
            </w:r>
          </w:p>
        </w:tc>
      </w:tr>
    </w:tbl>
    <w:tbl>
      <w:tblPr>
        <w:tblW w:type="dxa" w:w="10106"/>
        <w:jc w:val="center"/>
        <w:tblLayout w:type="fixed"/>
        <w:tblLook w:firstColumn="1" w:firstRow="1" w:lastColumn="0" w:lastRow="0" w:noHBand="0" w:noVBand="1" w:val="04A0"/>
        <w:tblInd w:w="120" w:type="dxa"/>
        <w:bidiVisual/>
        <w:tblCaption w:val="الإقرار والتوقيع المعتمد"/>
        <w:tblDescription w:val="الإقرار والتوقيع المعتمد: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المعلومات المطلوبة</w:t>
            </w:r>
          </w:p>
        </w:tc>
        <w:tc>
          <w:tcPr>
            <w:tcW w:type="dxa" w:w="6256"/>
            <w:tcMar>
              <w:top w:w="90" w:type="dxa"/>
              <w:start w:w="120" w:type="dxa"/>
              <w:bottom w:w="90" w:type="dxa"/>
              <w:end w:w="120" w:type="dxa"/>
            </w:tcMar>
            <w:vAlign w:val="center"/>
            <w:shd w:fill="0A2B3C" w:val="clear"/>
          </w:tcPr>
          <w:p>
            <w:pPr>
              <w:spacing w:before="0" w:after="0" w:line="240" w:lineRule="auto"/>
              <w:jc w:val="right"/>
              <w:bidi/>
            </w:pPr>
            <w:r/>
            <w:r>
              <w:rPr>
                <w:rFonts w:ascii="Arial" w:hAnsi="Arial" w:eastAsia="Arial" w:cs="Arial"/>
                <w:b/>
                <w:i w:val="0"/>
                <w:color w:val="FFFFFF"/>
                <w:sz w:val="16"/>
                <w:lang w:val="ar" w:eastAsia="ar" w:bidi="ar"/>
              </w:rPr>
              <w:t>الإجابة / مرجع الدليل</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المُصرح المعتمد: الاسم الكامل</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صرح المعتمد: الاسم الكامل"/>
                <w:tag w:val="olydefence.v3.supplier-registration.ar.declaration.declaration_name"/>
                <w:id w:val="1106714569"/>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الموقف والتنظيم</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موقف والتنظيم"/>
                <w:tag w:val="olydefence.v3.supplier-registration.ar.declaration.declaration_title"/>
                <w:id w:val="647739551"/>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أساس السلطة لتقديم هذا النموذج</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أساس السلطة لتقديم هذا النموذج"/>
                <w:tag w:val="olydefence.v3.supplier-registration.ar.declaration.declaration_basis"/>
                <w:id w:val="1541255618"/>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التوقيع</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وقيع"/>
                <w:tag w:val="olydefence.v3.supplier-registration.ar.declaration.signature"/>
                <w:id w:val="768744906"/>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right"/>
              <w:bidi/>
            </w:pPr>
            <w:r/>
            <w:r>
              <w:rPr>
                <w:rFonts w:ascii="Arial" w:hAnsi="Arial" w:eastAsia="Arial" w:cs="Arial"/>
                <w:b/>
                <w:i w:val="0"/>
                <w:color w:val="102334"/>
                <w:sz w:val="16"/>
                <w:lang w:val="ar" w:eastAsia="ar" w:bidi="ar"/>
              </w:rPr>
              <w:t>التاريخ</w:t>
            </w:r>
          </w:p>
        </w:tc>
        <w:tc>
          <w:tcPr>
            <w:tcW w:type="dxa" w:w="6256"/>
            <w:tcMar>
              <w:top w:w="90" w:type="dxa"/>
              <w:start w:w="120" w:type="dxa"/>
              <w:bottom w:w="90" w:type="dxa"/>
              <w:end w:w="120" w:type="dxa"/>
            </w:tcMar>
            <w:vAlign w:val="top"/>
            <w:shd w:fill="FFFFFF" w:val="clear"/>
          </w:tcPr>
          <w:p>
            <w:pPr>
              <w:spacing w:before="0" w:after="0" w:line="240" w:lineRule="auto"/>
              <w:jc w:val="right"/>
              <w:bidi/>
            </w:pPr>
            <w:r/>
            <w:sdt>
              <w:sdtPr>
                <w:alias w:val="التاريخ"/>
                <w:tag w:val="olydefence.v3.supplier-registration.ar.declaration.date"/>
                <w:id w:val="749571975"/>
                <w:text w:multiLine="1"/>
                <w:showingPlcHdr/>
              </w:sdtPr>
              <w:sdtContent>
                <w:r>
                  <w:rPr>
                    <w:color w:val="667985"/>
                    <w:i/>
                    <w:sz w:val="18"/>
                    <w:lang w:val="ar" w:eastAsia="ar" w:bidi="ar"/>
                  </w:rPr>
                  <w:t xml:space="preserve">انقر أو اضغط لإدخال إجابة. اكتب لا ينطبق عند الاقتضاء.</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bidiVisual/>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right"/>
            <w:bidi/>
          </w:pPr>
          <w:r/>
          <w:r>
            <w:rPr>
              <w:rFonts w:ascii="Arial" w:hAnsi="Arial" w:eastAsia="Arial" w:cs="Arial"/>
              <w:b/>
              <w:i w:val="0"/>
              <w:color w:val="051C2B"/>
              <w:sz w:val="15"/>
              <w:lang w:val="ar" w:eastAsia="ar" w:bidi="ar"/>
            </w:rPr>
            <w:t>OLYD-FRM-DSR-001 · V3.0</w:t>
          </w:r>
        </w:p>
      </w:tc>
      <w:tc>
        <w:tcPr>
          <w:tcW w:type="dxa" w:w="4050"/>
          <w:tcMar>
            <w:top w:w="55" w:type="dxa"/>
            <w:start w:w="90" w:type="dxa"/>
            <w:bottom w:w="55" w:type="dxa"/>
            <w:end w:w="90" w:type="dxa"/>
          </w:tcMar>
          <w:vAlign w:val="center"/>
          <w:shd w:fill="F3F6F8" w:val="clear"/>
        </w:tcPr>
        <w:p>
          <w:pPr>
            <w:spacing w:before="0" w:after="0" w:line="240" w:lineRule="auto"/>
            <w:jc w:val="center"/>
            <w:bidi/>
          </w:pPr>
          <w:r/>
          <w:r>
            <w:rPr>
              <w:rFonts w:ascii="Arial" w:hAnsi="Arial" w:eastAsia="Arial" w:cs="Arial"/>
              <w:b w:val="0"/>
              <w:i w:val="0"/>
              <w:color w:val="526577"/>
              <w:sz w:val="14"/>
              <w:lang w:val="ar" w:eastAsia="ar" w:bidi="ar"/>
            </w:rPr>
            <w:t>نموذج أعمال خاضع للضبط عند عرضه إلكترونياً</w:t>
          </w:r>
        </w:p>
      </w:tc>
      <w:tc>
        <w:tcPr>
          <w:tcW w:type="dxa" w:w="2706"/>
          <w:tcMar>
            <w:top w:w="55" w:type="dxa"/>
            <w:start w:w="90" w:type="dxa"/>
            <w:bottom w:w="55" w:type="dxa"/>
            <w:end w:w="90" w:type="dxa"/>
          </w:tcMar>
          <w:vAlign w:val="center"/>
          <w:shd w:fill="F3F6F8" w:val="clear"/>
        </w:tcPr>
        <w:p>
          <w:pPr>
            <w:spacing w:before="0" w:after="0" w:line="247" w:lineRule="auto"/>
            <w:jc w:val="left"/>
            <w:bidi/>
          </w:pPr>
          <w:r>
            <w:rPr>
              <w:rFonts w:ascii="Arial" w:hAnsi="Arial" w:eastAsia="Arial" w:cs="Arial"/>
              <w:b/>
              <w:color w:val="051C2B"/>
              <w:sz w:val="15"/>
              <w:lang w:val="ar" w:eastAsia="ar" w:bidi="ar"/>
            </w:rPr>
            <w:t xml:space="preserve">الصفحة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NUMPAGES</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r>
            <w:rPr>
              <w:rFonts w:ascii="Arial" w:hAnsi="Arial" w:eastAsia="Arial" w:cs="Arial"/>
              <w:color w:val="526577"/>
              <w:sz w:val="15"/>
              <w:lang w:val="ar" w:eastAsia="ar" w:bidi="ar"/>
            </w:rPr>
            <w:t xml:space="preserve"> / </w:t>
          </w:r>
          <w:r>
            <w:rPr>
              <w:rFonts w:ascii="Arial" w:hAnsi="Arial" w:eastAsia="Arial" w:cs="Arial"/>
              <w:color w:val="526577"/>
              <w:sz w:val="16"/>
              <w:lang w:val="ar" w:eastAsia="ar" w:bidi="ar"/>
            </w:rPr>
            <w:fldChar w:fldCharType="begin"/>
          </w:r>
          <w:r>
            <w:rPr>
              <w:rFonts w:ascii="Arial" w:hAnsi="Arial" w:eastAsia="Arial" w:cs="Arial"/>
              <w:color w:val="526577"/>
              <w:sz w:val="16"/>
              <w:lang w:val="ar" w:eastAsia="ar" w:bidi="ar"/>
            </w:rPr>
            <w:instrText xml:space="preserve">PAGE</w:instrText>
          </w:r>
          <w:r>
            <w:rPr>
              <w:rFonts w:ascii="Arial" w:hAnsi="Arial" w:eastAsia="Arial" w:cs="Arial"/>
              <w:color w:val="526577"/>
              <w:sz w:val="16"/>
              <w:lang w:val="ar" w:eastAsia="ar" w:bidi="ar"/>
            </w:rPr>
            <w:fldChar w:fldCharType="separate"/>
          </w:r>
          <w:r>
            <w:rPr>
              <w:rFonts w:ascii="Arial" w:hAnsi="Arial" w:eastAsia="Arial" w:cs="Arial"/>
              <w:color w:val="526577"/>
              <w:sz w:val="16"/>
              <w:lang w:val="ar" w:eastAsia="ar" w:bidi="ar"/>
            </w:rPr>
            <w:instrText xml:space="preserve">1</w:instrText>
          </w:r>
          <w:r>
            <w:rPr>
              <w:rFonts w:ascii="Arial" w:hAnsi="Arial" w:eastAsia="Arial" w:cs="Arial"/>
              <w:color w:val="526577"/>
              <w:sz w:val="16"/>
              <w:lang w:val="ar" w:eastAsia="ar" w:bidi="a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bidiVisual/>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bidi/>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left"/>
            <w:bidi/>
          </w:pPr>
          <w:r>
            <w:rPr>
              <w:rFonts w:ascii="Arial" w:hAnsi="Arial" w:eastAsia="Arial" w:cs="Arial"/>
              <w:b/>
              <w:color w:val="FFFFFF"/>
              <w:sz w:val="16"/>
              <w:lang w:val="ar" w:eastAsia="ar" w:bidi="ar"/>
            </w:rPr>
            <w:t>توريد الدفاع والأمن والمرونة</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ar" w:bidi="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مورّد دفاعي</dc:title>
  <dc:subject>التأهيل القائم على المخاطر للمصنعين والموردين المعتمدين والمتكاملين ومؤسسات الخدمة</dc:subject>
  <dc:creator/>
  <cp:keywords>OLYDEFENCE, controlled procurement, responsible transfer, due diligence, document control</cp:keywords>
  <dc:description>Controlled OLYDEFENCE form OLYD-FRM-DSR-001 V3.0.</dc:description>
  <cp:lastModifiedBy/>
  <cp:revision>1</cp:revision>
  <dcterms:created xsi:type="dcterms:W3CDTF">2013-12-23T23:15:00Z</dcterms:created>
  <dcterms:modified xsi:type="dcterms:W3CDTF">2013-12-23T23:15:00Z</dcterms:modified>
  <cp:category/>
</cp:coreProperties>
</file>