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right"/>
        <w:bidi/>
      </w:pPr>
      <w:r>
        <w:rPr>
          <w:rFonts w:ascii="Arial" w:hAnsi="Arial" w:eastAsia="Arial" w:cs="Arial"/>
          <w:b/>
          <w:color w:val="051C2B"/>
          <w:sz w:val="42"/>
          <w:lang w:val="ar" w:eastAsia="ar" w:bidi="ar"/>
        </w:rPr>
        <w:t>استبيان العناية الواجبة للطرف المقابل</w:t>
      </w:r>
    </w:p>
    <w:p>
      <w:pPr>
        <w:pStyle w:val="Subtitle"/>
        <w:spacing w:before="0" w:after="140" w:line="240" w:lineRule="auto"/>
        <w:jc w:val="right"/>
        <w:bidi/>
      </w:pPr>
      <w:r>
        <w:rPr>
          <w:rFonts w:ascii="Arial" w:hAnsi="Arial" w:eastAsia="Arial" w:cs="Arial"/>
          <w:color w:val="526577"/>
          <w:sz w:val="19"/>
          <w:lang w:val="ar" w:eastAsia="ar" w:bidi="ar"/>
        </w:rPr>
        <w:t>الهوية والنزاهة ونقل المسؤولية وسلسلة التوريد ومراجعة أمن المعلومات</w:t>
      </w:r>
    </w:p>
    <w:tbl>
      <w:tblPr>
        <w:tblW w:type="dxa" w:w="10106"/>
        <w:jc w:val="center"/>
        <w:tblLayout w:type="fixed"/>
        <w:tblLook w:firstColumn="1" w:firstRow="1" w:lastColumn="0" w:lastRow="0" w:noHBand="0" w:noVBand="1" w:val="04A0"/>
        <w:tblInd w:w="120" w:type="dxa"/>
        <w:bidiVisual/>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رمز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OLYD-FRM-DDQ-001</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الإصدار / تاريخ السريان</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3.0 / 2 أغسطس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التصنيف</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نموذج أعمال خاضع للضبط</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مالك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اللغة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العربية</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الحالة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جاهز للنشر / نسخة أصلية خاضعة للضبط</w:t>
            </w:r>
          </w:p>
        </w:tc>
      </w:tr>
    </w:tbl>
    <w:tbl>
      <w:tblPr>
        <w:tblW w:type="dxa" w:w="10106"/>
        <w:jc w:val="center"/>
        <w:tblLayout w:type="fixed"/>
        <w:tblLook w:firstColumn="1" w:firstRow="1" w:lastColumn="0" w:lastRow="0" w:noHBand="0" w:noVBand="1" w:val="04A0"/>
        <w:tblInd w:w="120" w:type="dxa"/>
        <w:bidiVisual/>
        <w:tblCaption w:val="الغرض"/>
        <w:tblDescription w:val="استخدم هذا الاستبيان قبل أن يدخل OLYDEFENCE في علاقة مادية أو يجددها. تتناول المراجعة الملكية، والتعرض للمسؤولين العامين، والعقوبات، ومكافحة الرشوة، والترخيص، والمستخدم النهائي/الاستخدام النهائي، ومكافحة التحويل، وحقوق ا"/>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right"/>
              <w:bidi/>
            </w:pPr>
            <w:r/>
            <w:r>
              <w:rPr>
                <w:rFonts w:ascii="Arial" w:hAnsi="Arial" w:eastAsia="Arial" w:cs="Arial"/>
                <w:b/>
                <w:i w:val="0"/>
                <w:color w:val="FFFFFF"/>
                <w:sz w:val="18"/>
                <w:lang w:val="ar" w:eastAsia="ar" w:bidi="ar"/>
              </w:rPr>
              <w:t>الغرض</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bidi/>
            </w:pPr>
            <w:r/>
            <w:r>
              <w:rPr>
                <w:rFonts w:ascii="Arial" w:hAnsi="Arial" w:eastAsia="Arial" w:cs="Arial"/>
                <w:color w:val="102334"/>
                <w:sz w:val="17"/>
                <w:lang w:val="ar" w:eastAsia="ar" w:bidi="ar"/>
              </w:rPr>
              <w:t>استخدم هذا الاستبيان قبل أن يدخل OLYDEFENCE في علاقة مادية أو يجددها. تتناول المراجعة الملكية، والتعرض للمسؤولين العامين، والعقوبات، ومكافحة الرشوة، والترخيص، والمستخدم النهائي/الاستخدام النهائي، ومكافحة التحويل، وحقوق الإنسان/القانون الدولي الإنساني، وسلسلة التوريد، والجودة، والمخاطر المالية وأمن المعلومات.</w:t>
            </w:r>
          </w:p>
        </w:tc>
      </w:tr>
    </w:tbl>
    <w:tbl>
      <w:tblPr>
        <w:tblW w:type="dxa" w:w="10106"/>
        <w:jc w:val="center"/>
        <w:tblLayout w:type="fixed"/>
        <w:tblLook w:firstColumn="1" w:firstRow="1" w:lastColumn="0" w:lastRow="0" w:noHBand="0" w:noVBand="1" w:val="04A0"/>
        <w:tblInd w:w="120" w:type="dxa"/>
        <w:bidiVisual/>
        <w:tblCaption w:val="تعليمات الإكمال"/>
        <w:tblDescription w:val="أكمل كل الحقول المعمول بها. استخدم أوصافًا عامة وغير حساسة واستشهد بالأدلة حسب عنوان المستند ومصدره ورقمه ومراجعته وتاريخه. ضع علامة &quot;غير قابل للتطبيق&quot; لسبب ما. قد تطلب OLYDEFENCE توضيحًا أو العناية الواجبة المعززة أو تب"/>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تعليمات الإكمال</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أكمل كل الحقول المعمول بها. استخدم أوصافًا عامة وغير حساسة واستشهد بالأدلة حسب عنوان المستند ومصدره ورقمه ومراجعته وتاريخه. ضع علامة "غير قابل للتطبيق" لسبب ما. قد تطلب OLYDEFENCE توضيحًا أو العناية الواجبة المعززة أو تبادلًا آمنًا لغرفة المستندات.</w:t>
            </w:r>
          </w:p>
        </w:tc>
      </w:tr>
    </w:tbl>
    <w:tbl>
      <w:tblPr>
        <w:tblW w:type="dxa" w:w="10106"/>
        <w:jc w:val="center"/>
        <w:tblLayout w:type="fixed"/>
        <w:tblLook w:firstColumn="1" w:firstRow="1" w:lastColumn="0" w:lastRow="0" w:noHBand="0" w:noVBand="1" w:val="04A0"/>
        <w:tblInd w:w="120" w:type="dxa"/>
        <w:bidiVisual/>
        <w:tblCaption w:val="الخصوصية والتعامل الآمن مع الوثائق"/>
        <w:tblDescription w:val="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الخصوصية والتعامل الآمن مع الوثائق</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حتى يتم تأكيد القناة الآمنة المعتمدة والمستلمين المعتمدين.</w:t>
            </w:r>
          </w:p>
          <w:p>
            <w:pPr>
              <w:spacing w:before="60" w:after="0" w:line="240" w:lineRule="auto"/>
              <w:jc w:val="right"/>
              <w:bidi/>
            </w:pPr>
            <w:hyperlink r:id="rId11">
              <w:r>
                <w:rPr>
                  <w:color w:val="866A20"/>
                  <w:u w:val="single"/>
                </w:rPr>
                <w:t>اقرأ إشعار الخصوصية لدى OLYVENRA</w:t>
              </w:r>
            </w:hyperlink>
          </w:p>
        </w:tc>
      </w:tr>
    </w:tbl>
    <w:tbl>
      <w:tblPr>
        <w:tblW w:type="dxa" w:w="10106"/>
        <w:jc w:val="center"/>
        <w:tblLayout w:type="fixed"/>
        <w:tblLook w:firstColumn="1" w:firstRow="1" w:lastColumn="0" w:lastRow="0" w:noHBand="0" w:noVBand="1" w:val="04A0"/>
        <w:tblInd w:w="120" w:type="dxa"/>
        <w:bidiVisual/>
        <w:tblCaption w:val="حدود التوريد الخاضع للضبط والمعلومات الآمنة"/>
        <w:tblDescription w:val="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right"/>
              <w:bidi/>
            </w:pPr>
            <w:r/>
            <w:r>
              <w:rPr>
                <w:rFonts w:ascii="Arial" w:hAnsi="Arial" w:eastAsia="Arial" w:cs="Arial"/>
                <w:b/>
                <w:i w:val="0"/>
                <w:color w:val="FFFFFF"/>
                <w:sz w:val="18"/>
                <w:lang w:val="ar" w:eastAsia="ar" w:bidi="ar"/>
              </w:rPr>
              <w:t>حدود التوريد الخاضع للضبط والمعلومات الآمنة</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right"/>
              <w:bidi/>
            </w:pPr>
            <w:r/>
            <w:r>
              <w:rPr>
                <w:rFonts w:ascii="Arial" w:hAnsi="Arial" w:eastAsia="Arial" w:cs="Arial"/>
                <w:color w:val="102334"/>
                <w:sz w:val="17"/>
                <w:lang w:val="ar" w:eastAsia="ar" w:bidi="ar"/>
              </w:rPr>
              <w:t>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المرخصة. نطاق مجموعة الإسعافات الأولية العامة لا يشمل الأدوية؛ يجب أن يستخدم أي طلب دواء قناة مرخصة منفصلة عندما يكون ذلك قانونيًا.</w:t>
            </w:r>
          </w:p>
        </w:tc>
      </w:tr>
    </w:tbl>
    <w:p>
      <w:pPr>
        <w:pStyle w:val="Heading1"/>
        <w:spacing w:before="160" w:after="80" w:line="240" w:lineRule="auto"/>
        <w:jc w:val="right"/>
        <w:keepNext/>
        <w:bidi/>
      </w:pPr>
      <w:r>
        <w:rPr>
          <w:rFonts w:ascii="Arial" w:hAnsi="Arial" w:eastAsia="Arial" w:cs="Arial"/>
          <w:b/>
          <w:color w:val="866A20"/>
          <w:sz w:val="25"/>
          <w:lang w:val="ar" w:eastAsia="ar" w:bidi="ar"/>
        </w:rPr>
        <w:t>الهوية القانونية والملكية والدور المصرح به</w:t>
      </w:r>
    </w:p>
    <w:tbl>
      <w:tblPr>
        <w:tblW w:type="dxa" w:w="10106"/>
        <w:jc w:val="center"/>
        <w:tblLayout w:type="fixed"/>
        <w:tblLook w:firstColumn="1" w:firstRow="1" w:lastColumn="0" w:lastRow="0" w:noHBand="0" w:noVBand="1" w:val="04A0"/>
        <w:tblInd w:w="120" w:type="dxa"/>
        <w:bidiVisual/>
        <w:tblCaption w:val="الهوية القانونية والملكية والدور المصرح به"/>
        <w:tblDescription w:val="الهوية القانونية والملكية والدور المصرح به: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الاسم القانوني الكامل والاسم التجاري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م القانوني الكامل والاسم التجاري"/>
                <w:tag w:val="olydefence.v3.due-diligence-questionnaire.ar.company.legal_name"/>
                <w:id w:val="187919145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رقم التسجيل والبلد والعنوان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رقم التسجيل والبلد والعنوان المسجل"/>
                <w:tag w:val="olydefence.v3.due-diligence-questionnaire.ar.company.registration"/>
                <w:id w:val="87309920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موقع الشركة والملف الشخصي العام الذي يمكن التحقق منه</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وقع الشركة والملف الشخصي العام الذي يمكن التحقق منه"/>
                <w:tag w:val="olydefence.v3.due-diligence-questionnaire.ar.company.website"/>
                <w:id w:val="125313392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جهة الاتصال المعتمدة: الاسم والمسمى الوظيفي والقسم والبريد الإلكتروني والهاتف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هة الاتصال المعتمدة: الاسم والمسمى الوظيفي والقسم والبريد الإلكتروني والهاتف"/>
                <w:tag w:val="olydefence.v3.due-diligence-questionnaire.ar.company.contact"/>
                <w:id w:val="147368492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نوع المنظمة ودورها في الصفقة المقترحة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وع المنظمة ودورها في الصفقة المقترحة"/>
                <w:tag w:val="olydefence.v3.due-diligence-questionnaire.ar.company.organisation_type"/>
                <w:id w:val="18221680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يتم تقديم عائلات المنتجات/الخدمات الخاضعة للرقابة وغير الخاضعة للرقابة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يتم تقديم عائلات المنتجات/الخدمات الخاضعة للرقابة وغير الخاضعة للرقابة"/>
                <w:tag w:val="olydefence.v3.due-diligence-questionnaire.ar.company.product_scope"/>
                <w:id w:val="204978068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الملكية والإدارة والوضع المالي</w:t>
      </w:r>
    </w:p>
    <w:tbl>
      <w:tblPr>
        <w:tblW w:type="dxa" w:w="10106"/>
        <w:jc w:val="center"/>
        <w:tblLayout w:type="fixed"/>
        <w:tblLook w:firstColumn="1" w:firstRow="1" w:lastColumn="0" w:lastRow="0" w:noHBand="0" w:noVBand="1" w:val="04A0"/>
        <w:tblInd w:w="120" w:type="dxa"/>
        <w:bidiVisual/>
        <w:tblCaption w:val="الملكية والإدارة والوضع المالي"/>
        <w:tblDescription w:val="الملكية والإدارة والوضع المالي: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المالكون المستفيدون النهائيون ونسب الملكية وملكية/سيطرة الحكومة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الكون المستفيدون النهائيون ونسب الملكية وملكية/سيطرة الحكومة"/>
                <w:tag w:val="olydefence.v3.due-diligence-questionnaire.ar.ownership.ownership"/>
                <w:id w:val="209612770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المديرون والمسؤولون والمفوضون بالتوقيع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ديرون والمسؤولون والمفوضون بالتوقيع"/>
                <w:tag w:val="olydefence.v3.due-diligence-questionnaire.ar.ownership.directors"/>
                <w:id w:val="205402956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الأشخاص المكشوفون سياسيًا والمسؤولون العموميون والعلاقات الحكومية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أشخاص المكشوفون سياسيًا والمسؤولون العموميون والعلاقات الحكومية"/>
                <w:tag w:val="olydefence.v3.due-diligence-questionnaire.ar.ownership.pep"/>
                <w:id w:val="21157364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تضارب المصالح والعلاقات الحكومية الفعلية أو المحتملة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ضارب المصالح والعلاقات الحكومية الفعلية أو المحتملة"/>
                <w:tag w:val="olydefence.v3.due-diligence-questionnaire.ar.ownership.conflicts"/>
                <w:id w:val="103567802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الوضع المالي والإعسار والمسائل المستمرة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ضع المالي والإعسار والمسائل المستمرة"/>
                <w:tag w:val="olydefence.v3.due-diligence-questionnaire.ar.ownership.financial"/>
                <w:id w:val="151466707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وسائل الإعلام الضارة والتقاضي والتحقيقات والحرمان والإجراءات التنظيمية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وسائل الإعلام الضارة والتقاضي والتحقيقات والحرمان والإجراءات التنظيمية"/>
                <w:tag w:val="olydefence.v3.due-diligence-questionnaire.ar.ownership.adverse_media"/>
                <w:id w:val="209679378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النزاهة والعقوبات وحقوق الإنسان وأمن المعلومات</w:t>
      </w:r>
    </w:p>
    <w:tbl>
      <w:tblPr>
        <w:tblW w:type="dxa" w:w="10106"/>
        <w:jc w:val="center"/>
        <w:tblLayout w:type="fixed"/>
        <w:tblLook w:firstColumn="1" w:firstRow="1" w:lastColumn="0" w:lastRow="0" w:noHBand="0" w:noVBand="1" w:val="04A0"/>
        <w:tblInd w:w="120" w:type="dxa"/>
        <w:bidiVisual/>
        <w:tblCaption w:val="النزاهة والعقوبات وحقوق الإنسان وأمن المعلومات"/>
        <w:tblDescription w:val="النزاهة والعقوبات وحقوق الإنسان وأمن المعلومات: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العقوبات المطبقة والحظر وحالة المراجعة للأطراف المقيدة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قوبات المطبقة والحظر وحالة المراجعة للأطراف المقيدة"/>
                <w:tag w:val="olydefence.v3.due-diligence-questionnaire.ar.integrity.sanctions"/>
                <w:id w:val="2227933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العقوبات أو الحرمان أو انتهاكات مراقبة الصادرات أو التحقيقات أو تاريخ الإنفاذ</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قوبات أو الحرمان أو انتهاكات مراقبة الصادرات أو التحقيقات أو تاريخ الإنفاذ"/>
                <w:tag w:val="olydefence.v3.due-diligence-questionnaire.ar.integrity.sanctions_history"/>
                <w:id w:val="196639921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مكافحة الرشوة والهدايا وتسهيل الدفع وضوابط الطرف الثالث</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كافحة الرشوة والهدايا وتسهيل الدفع وضوابط الطرف الثالث"/>
                <w:tag w:val="olydefence.v3.due-diligence-questionnaire.ar.integrity.anti_bribery"/>
                <w:id w:val="106948109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الوكلاء والوسطاء والعمولات ورسوم النجاح ومستلمو الدفع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كلاء والوسطاء والعمولات ورسوم النجاح ومستلمو الدفع"/>
                <w:tag w:val="olydefence.v3.due-diligence-questionnaire.ar.integrity.fees"/>
                <w:id w:val="14898236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البلد المصرفي، ومطابقة اسم الحساب، والعملات، وقيود الدفع من طرف ثالث</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بلد المصرفي، ومطابقة اسم الحساب، والعملات، وقيود الدفع من طرف ثالث"/>
                <w:tag w:val="olydefence.v3.due-diligence-questionnaire.ar.integrity.payments"/>
                <w:id w:val="95428732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العمل القسري، وعمالة الأطفال، والعبودية الحديثة، وضوابط المعادن المسؤولة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مل القسري، وعمالة الأطفال، والعبودية الحديثة، وضوابط المعادن المسؤولة"/>
                <w:tag w:val="olydefence.v3.due-diligence-questionnaire.ar.integrity.labour"/>
                <w:id w:val="130322792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ضوابط الاستخدام النهائي ومكافحة التحويل والنقل المسؤول</w:t>
      </w:r>
    </w:p>
    <w:tbl>
      <w:tblPr>
        <w:tblW w:type="dxa" w:w="10106"/>
        <w:jc w:val="center"/>
        <w:tblLayout w:type="fixed"/>
        <w:tblLook w:firstColumn="1" w:firstRow="1" w:lastColumn="0" w:lastRow="0" w:noHBand="0" w:noVBand="1" w:val="04A0"/>
        <w:tblInd w:w="120" w:type="dxa"/>
        <w:bidiVisual/>
        <w:tblCaption w:val="ضوابط الاستخدام النهائي ومكافحة التحويل والنقل المسؤول"/>
        <w:tblDescription w:val="ضوابط الاستخدام النهائي ومكافحة التحويل والنقل المسؤول: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التصنيف العسكري المقترح أو الاستخدام المزدوج أو الأسلحة النارية أو معدات الوقاية الشخصية أو الأجهزة الطبية أو البضائع الخطرة أو أي تصنيف آخر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صنيف العسكري المقترح أو الاستخدام المزدوج أو الأسلحة النارية أو معدات الوقاية الشخصية أو الأجهزة الطبية أو البضائع الخطرة أو أي تصنيف آخر"/>
                <w:tag w:val="olydefence.v3.due-diligence-questionnaire.ar.transfer.classification"/>
                <w:id w:val="85985106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التراخيص الحالية والتسجيلات ومواعيد OEM والأقاليم المعتمدة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راخيص الحالية والتسجيلات ومواعيد OEM والأقاليم المعتمدة"/>
                <w:tag w:val="olydefence.v3.due-diligence-questionnaire.ar.transfer.authorisations"/>
                <w:id w:val="197671778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المشتري وجهة التعاقد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شتري وجهة التعاقد"/>
                <w:tag w:val="olydefence.v3.due-diligence-questionnaire.ar.transfer.buyer"/>
                <w:id w:val="157045360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المرسل إليه والمستورد وموقع التسليم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رسل إليه والمستورد وموقع التسليم"/>
                <w:tag w:val="olydefence.v3.due-diligence-questionnaire.ar.transfer.consignee"/>
                <w:id w:val="161349433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منظمة ووحدة المستخدم النهائي، حيث يمكن الكشف عنها بشكل قانوني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نظمة ووحدة المستخدم النهائي، حيث يمكن الكشف عنها بشكل قانوني"/>
                <w:tag w:val="olydefence.v3.due-diligence-questionnaire.ar.transfer.end_user"/>
                <w:id w:val="127787970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بلد الوجهة النهائية والموقع المعلن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بلد الوجهة النهائية والموقع المعلن"/>
                <w:tag w:val="olydefence.v3.due-diligence-questionnaire.ar.transfer.destination"/>
                <w:id w:val="130519623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الاستخدام النهائي المقصود الموثق وعدد المستخدمين المصرح لهم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تخدام النهائي المقصود الموثق وعدد المستخدمين المصرح لهم"/>
                <w:tag w:val="olydefence.v3.due-diligence-questionnaire.ar.transfer.intended_end_use"/>
                <w:id w:val="34844734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عملية شهادة المستخدم النهائي/الاستخدام النهائي وملكية التحقق من الصحة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ملية شهادة المستخدم النهائي/الاستخدام النهائي وملكية التحقق من الصحة"/>
                <w:tag w:val="olydefence.v3.due-diligence-questionnaire.ar.transfer.end_use_controls"/>
                <w:id w:val="97593076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الموافقة على إعادة النقل، وضمان ما بعد التسليم، وضوابط حفظ السجلات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افقة على إعادة النقل، وضمان ما بعد التسليم، وضوابط حفظ السجلات"/>
                <w:tag w:val="olydefence.v3.due-diligence-questionnaire.ar.transfer.retransfer_controls"/>
                <w:id w:val="194071741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أعلام حمراء لمكافحة التحويل، وضمانات المخزون/المساءلة والتصعيد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أعلام حمراء لمكافحة التحويل، وضمانات المخزون/المساءلة والتصعيد"/>
                <w:tag w:val="olydefence.v3.due-diligence-questionnaire.ar.transfer.diversion_controls"/>
                <w:id w:val="22930789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سياسة بذل العناية الواجبة في مجال حقوق الإنسان/القانون الدولي الإنساني وعملية التصعيد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سياسة بذل العناية الواجبة في مجال حقوق الإنسان/القانون الدولي الإنساني وعملية التصعيد"/>
                <w:tag w:val="olydefence.v3.due-diligence-questionnaire.ar.transfer.ihl_policy"/>
                <w:id w:val="41214618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سلسلة التوريد والجودة والصحة والسلامة والبيئة وضوابط البيانات</w:t>
      </w:r>
    </w:p>
    <w:tbl>
      <w:tblPr>
        <w:tblW w:type="dxa" w:w="10106"/>
        <w:jc w:val="center"/>
        <w:tblLayout w:type="fixed"/>
        <w:tblLook w:firstColumn="1" w:firstRow="1" w:lastColumn="0" w:lastRow="0" w:noHBand="0" w:noVBand="1" w:val="04A0"/>
        <w:tblInd w:w="120" w:type="dxa"/>
        <w:bidiVisual/>
        <w:tblCaption w:val="سلسلة التوريد والجودة والصحة والسلامة والبيئة وضوابط البيانات"/>
        <w:tblDescription w:val="سلسلة التوريد والجودة والصحة والسلامة والبيئة وضوابط البيانات: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خريطة سلسلة التوريد الحرجة وبلد المنشأ ومخاطر التبعية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خريطة سلسلة التوريد الحرجة وبلد المنشأ ومخاطر التبعية"/>
                <w:tag w:val="olydefence.v3.due-diligence-questionnaire.ar.supply_chain.supply_chain_map"/>
                <w:id w:val="112325326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نطاق نظام إدارة الجودة والشهادات والجهات المصدرة لها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طاق نظام إدارة الجودة والشهادات والجهات المصدرة لها"/>
                <w:tag w:val="olydefence.v3.due-diligence-questionnaire.ar.supply_chain.qms"/>
                <w:id w:val="52498631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خط الأساس للتكوين والتحكم في الرسم/المواصفات وإخطار التغيير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خط الأساس للتكوين والتحكم في الرسم/المواصفات وإخطار التغيير"/>
                <w:tag w:val="olydefence.v3.due-diligence-questionnaire.ar.supply_chain.configuration"/>
                <w:id w:val="148955324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تحديد المصدر، وتجنب التزييف، وضوابط القناة المسموح بها، والعناصر المشبوهة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حديد المصدر، وتجنب التزييف، وضوابط القناة المسموح بها، والعناصر المشبوهة"/>
                <w:tag w:val="olydefence.v3.due-diligence-questionnaire.ar.supply_chain.counterfeit"/>
                <w:id w:val="103187560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علم الأنساب التسلسلي/الدفعة، والحضانة، والاحتفاظ بالسجلات، وضوابط التتبع بعد التسليم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لم الأنساب التسلسلي/الدفعة، والحضانة، والاحتفاظ بالسجلات، وضوابط التتبع بعد التسليم"/>
                <w:tag w:val="olydefence.v3.due-diligence-questionnaire.ar.supply_chain.traceability"/>
                <w:id w:val="189292594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ضوابط إدارة الصحة والسلامة والبيئة والبضائع الخطرة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ضوابط إدارة الصحة والسلامة والبيئة والبضائع الخطرة"/>
                <w:tag w:val="olydefence.v3.due-diligence-questionnaire.ar.supply_chain.hse"/>
                <w:id w:val="122264571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إطار عمل أمن المعلومات والحوادث وحماية البيانات الفنية الخاضعة للرقابة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إطار عمل أمن المعلومات والحوادث وحماية البيانات الفنية الخاضعة للرقابة"/>
                <w:tag w:val="olydefence.v3.due-diligence-questionnaire.ar.supply_chain.cyber"/>
                <w:id w:val="185648693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الأنظمة ودول الاستضافة/التخزين ومواقع الوصول المعتمدة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أنظمة ودول الاستضافة/التخزين ومواقع الوصول المعتمدة"/>
                <w:tag w:val="olydefence.v3.due-diligence-questionnaire.ar.supply_chain.data_locations"/>
                <w:id w:val="177664182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جودة المواد والسلامة والحوادث السيبرانية أو حوادث التوريد في السنوات الخمس الماضية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ودة المواد والسلامة والحوادث السيبرانية أو حوادث التوريد في السنوات الخمس الماضية"/>
                <w:tag w:val="olydefence.v3.due-diligence-questionnaire.ar.supply_chain.incident_history"/>
                <w:id w:val="135407291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قائمة التحقق من الأدلة الداعمة</w:t>
      </w:r>
    </w:p>
    <w:tbl>
      <w:tblPr>
        <w:tblW w:type="dxa" w:w="10106"/>
        <w:jc w:val="center"/>
        <w:tblLayout w:type="fixed"/>
        <w:tblLook w:firstColumn="1" w:firstRow="1" w:lastColumn="0" w:lastRow="0" w:noHBand="0" w:noVBand="1" w:val="04A0"/>
        <w:tblInd w:w="120" w:type="dxa"/>
        <w:bidiVisual/>
        <w:tblCaption w:val="قائمة التحقق من الأدلة الداعمة"/>
        <w:tblDescription w:val="قائمة التحقق من الأدلة الداعم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مستخرج التسجيل والتسجيل الضريبي وأدلة العنوان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ستخرج التسجيل والتسجيل الضريبي وأدلة العنوان المسجل"/>
                <w:tag w:val="olydefence.v3.due-diligence-questionnaire.ar.evidence.registration_evidence"/>
                <w:id w:val="131777900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مخطط الملكية وأدلة هوية المالك المستفيد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خطط الملكية وأدلة هوية المالك المستفيد"/>
                <w:tag w:val="olydefence.v3.due-diligence-questionnaire.ar.evidence.ownership_evidence"/>
                <w:id w:val="164931194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التراخيص الحالية والتسجيلات والتفويضات وخطابات التعيين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راخيص الحالية والتسجيلات والتفويضات وخطابات التعيين"/>
                <w:tag w:val="olydefence.v3.due-diligence-questionnaire.ar.evidence.licence_evidence"/>
                <w:id w:val="83709866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الشهادات وملخص التدقيق والاعتماد وأدلة اختبار المنتج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هادات وملخص التدقيق والاعتماد وأدلة اختبار المنتج"/>
                <w:tag w:val="olydefence.v3.due-diligence-questionnaire.ar.evidence.quality_evidence"/>
                <w:id w:val="63873401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مكافحة الرشوة، والعقوبات، وحقوق الإنسان/القانون الدولي الإنساني، وسياسات سلسلة التوريد وأمن المعلومات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كافحة الرشوة، والعقوبات، وحقوق الإنسان/القانون الدولي الإنساني، وسياسات سلسلة التوريد وأمن المعلومات"/>
                <w:tag w:val="olydefence.v3.due-diligence-questionnaire.ar.evidence.policy_evidence"/>
                <w:id w:val="213865559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اثنان من العملاء المؤسسيين أو المراجع المهنية ذات الصلة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ثنان من العملاء المؤسسيين أو المراجع المهنية ذات الصلة"/>
                <w:tag w:val="olydefence.v3.due-diligence-questionnaire.ar.evidence.references"/>
                <w:id w:val="202554957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الإقرار والتوقيع المعتمد</w:t>
      </w:r>
    </w:p>
    <w:tbl>
      <w:tblPr>
        <w:tblW w:type="dxa" w:w="10106"/>
        <w:jc w:val="center"/>
        <w:tblLayout w:type="fixed"/>
        <w:tblLook w:firstColumn="1" w:firstRow="1" w:lastColumn="0" w:lastRow="0" w:noHBand="0" w:noVBand="1" w:val="04A0"/>
        <w:tblInd w:w="120" w:type="dxa"/>
        <w:bidiVisual/>
        <w:tblCaption w:val="الإقرار والتوقيع المعتمد"/>
        <w:tblDescription w:val="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keepNext/>
              <w:bidi/>
            </w:pPr>
            <w:r/>
            <w:r>
              <w:rPr>
                <w:rFonts w:ascii="Arial" w:hAnsi="Arial" w:eastAsia="Arial" w:cs="Arial"/>
                <w:b/>
                <w:i w:val="0"/>
                <w:color w:val="FFFFFF"/>
                <w:sz w:val="18"/>
                <w:lang w:val="ar" w:eastAsia="ar" w:bidi="ar"/>
              </w:rPr>
              <w:t>الإقرار والتوقيع المعتمد</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keepNext/>
              <w:bidi/>
            </w:pPr>
            <w:r/>
            <w:r>
              <w:rPr>
                <w:rFonts w:ascii="Arial" w:hAnsi="Arial" w:eastAsia="Arial" w:cs="Arial"/>
                <w:color w:val="102334"/>
                <w:sz w:val="17"/>
                <w:lang w:val="ar" w:eastAsia="ar" w:bidi="ar"/>
              </w:rPr>
              <w:t>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الترخيص أو الالتزام بالمعاملة.</w:t>
            </w:r>
          </w:p>
        </w:tc>
      </w:tr>
    </w:tbl>
    <w:tbl>
      <w:tblPr>
        <w:tblW w:type="dxa" w:w="10106"/>
        <w:jc w:val="center"/>
        <w:tblLayout w:type="fixed"/>
        <w:tblLook w:firstColumn="1" w:firstRow="1" w:lastColumn="0" w:lastRow="0" w:noHBand="0" w:noVBand="1" w:val="04A0"/>
        <w:tblInd w:w="120" w:type="dxa"/>
        <w:bidiVisual/>
        <w:tblCaption w:val="الإقرار والتوقيع المعتمد"/>
        <w:tblDescription w:val="الإقرار والتوقيع المعتمد: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المُصرح المعتمد: الاسم الكامل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صرح المعتمد: الاسم الكامل"/>
                <w:tag w:val="olydefence.v3.due-diligence-questionnaire.ar.declaration.declaration_name"/>
                <w:id w:val="36875813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الموقف والتنظيم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قف والتنظيم"/>
                <w:tag w:val="olydefence.v3.due-diligence-questionnaire.ar.declaration.declaration_title"/>
                <w:id w:val="69303312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أساس السلطة لتقديم هذا النموذج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أساس السلطة لتقديم هذا النموذج"/>
                <w:tag w:val="olydefence.v3.due-diligence-questionnaire.ar.declaration.declaration_basis"/>
                <w:id w:val="165311777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وقيع"/>
                <w:tag w:val="olydefence.v3.due-diligence-questionnaire.ar.declaration.signature"/>
                <w:id w:val="45863924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التاريخ</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اريخ"/>
                <w:tag w:val="olydefence.v3.due-diligence-questionnaire.ar.declaration.date"/>
                <w:id w:val="123577204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bidiVisual/>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right"/>
            <w:bidi/>
          </w:pPr>
          <w:r/>
          <w:r>
            <w:rPr>
              <w:rFonts w:ascii="Arial" w:hAnsi="Arial" w:eastAsia="Arial" w:cs="Arial"/>
              <w:b/>
              <w:i w:val="0"/>
              <w:color w:val="051C2B"/>
              <w:sz w:val="15"/>
              <w:lang w:val="ar" w:eastAsia="ar" w:bidi="ar"/>
            </w:rPr>
            <w:t>OLYD-FRM-DDQ-001 · V3.0</w:t>
          </w:r>
        </w:p>
      </w:tc>
      <w:tc>
        <w:tcPr>
          <w:tcW w:type="dxa" w:w="4050"/>
          <w:tcMar>
            <w:top w:w="55" w:type="dxa"/>
            <w:start w:w="90" w:type="dxa"/>
            <w:bottom w:w="55" w:type="dxa"/>
            <w:end w:w="90" w:type="dxa"/>
          </w:tcMar>
          <w:vAlign w:val="center"/>
          <w:shd w:fill="F3F6F8" w:val="clear"/>
        </w:tcPr>
        <w:p>
          <w:pPr>
            <w:spacing w:before="0" w:after="0" w:line="240" w:lineRule="auto"/>
            <w:jc w:val="center"/>
            <w:bidi/>
          </w:pPr>
          <w:r/>
          <w:r>
            <w:rPr>
              <w:rFonts w:ascii="Arial" w:hAnsi="Arial" w:eastAsia="Arial" w:cs="Arial"/>
              <w:b w:val="0"/>
              <w:i w:val="0"/>
              <w:color w:val="526577"/>
              <w:sz w:val="14"/>
              <w:lang w:val="ar" w:eastAsia="ar" w:bidi="ar"/>
            </w:rPr>
            <w:t>نموذج أعمال خاضع للضبط عند عرضه إلكترونياً</w:t>
          </w:r>
        </w:p>
      </w:tc>
      <w:tc>
        <w:tcPr>
          <w:tcW w:type="dxa" w:w="2706"/>
          <w:tcMar>
            <w:top w:w="55" w:type="dxa"/>
            <w:start w:w="90" w:type="dxa"/>
            <w:bottom w:w="55" w:type="dxa"/>
            <w:end w:w="90" w:type="dxa"/>
          </w:tcMar>
          <w:vAlign w:val="center"/>
          <w:shd w:fill="F3F6F8" w:val="clear"/>
        </w:tcPr>
        <w:p>
          <w:pPr>
            <w:spacing w:before="0" w:after="0" w:line="247" w:lineRule="auto"/>
            <w:jc w:val="left"/>
            <w:bidi/>
          </w:pPr>
          <w:r>
            <w:rPr>
              <w:rFonts w:ascii="Arial" w:hAnsi="Arial" w:eastAsia="Arial" w:cs="Arial"/>
              <w:b/>
              <w:color w:val="051C2B"/>
              <w:sz w:val="15"/>
              <w:lang w:val="ar" w:eastAsia="ar" w:bidi="ar"/>
            </w:rPr>
            <w:t xml:space="preserve">الصفحة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NUMPAGES</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r>
            <w:rPr>
              <w:rFonts w:ascii="Arial" w:hAnsi="Arial" w:eastAsia="Arial" w:cs="Arial"/>
              <w:color w:val="526577"/>
              <w:sz w:val="15"/>
              <w:lang w:val="ar" w:eastAsia="ar" w:bidi="ar"/>
            </w:rPr>
            <w:t xml:space="preserve"> /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PAGE</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bidiVisual/>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bidi/>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left"/>
            <w:bidi/>
          </w:pPr>
          <w:r>
            <w:rPr>
              <w:rFonts w:ascii="Arial" w:hAnsi="Arial" w:eastAsia="Arial" w:cs="Arial"/>
              <w:b/>
              <w:color w:val="FFFFFF"/>
              <w:sz w:val="16"/>
              <w:lang w:val="ar" w:eastAsia="ar" w:bidi="ar"/>
            </w:rPr>
            <w:t>توريد الدفاع والأمن والمرونة</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ar" w:bidi="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استبيان العناية الواجبة للطرف المقابل</dc:title>
  <dc:subject>الهوية والنزاهة ونقل المسؤولية وسلسلة التوريد ومراجعة أمن المعلومات</dc:subject>
  <dc:creator/>
  <cp:keywords>OLYDEFENCE, controlled procurement, responsible transfer, due diligence, document control</cp:keywords>
  <dc:description>Controlled OLYDEFENCE form OLYD-FRM-DDQ-001 V3.0.</dc:description>
  <cp:lastModifiedBy/>
  <cp:revision>1</cp:revision>
  <dcterms:created xsi:type="dcterms:W3CDTF">2013-12-23T23:15:00Z</dcterms:created>
  <dcterms:modified xsi:type="dcterms:W3CDTF">2013-12-23T23:15:00Z</dcterms:modified>
  <cp:category/>
</cp:coreProperties>
</file>