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right"/>
        <w:bidi/>
      </w:pPr>
      <w:r>
        <w:rPr>
          <w:rFonts w:ascii="Arial" w:hAnsi="Arial" w:eastAsia="Arial" w:cs="Arial"/>
          <w:b/>
          <w:color w:val="051C2B"/>
          <w:sz w:val="42"/>
          <w:lang w:val="ar" w:eastAsia="ar" w:bidi="ar"/>
        </w:rPr>
        <w:t>نموذج متطلبات المشتري المعتمد</w:t>
      </w:r>
    </w:p>
    <w:p>
      <w:pPr>
        <w:pStyle w:val="Subtitle"/>
        <w:spacing w:before="0" w:after="140" w:line="240" w:lineRule="auto"/>
        <w:jc w:val="right"/>
        <w:bidi/>
      </w:pPr>
      <w:r>
        <w:rPr>
          <w:rFonts w:ascii="Arial" w:hAnsi="Arial" w:eastAsia="Arial" w:cs="Arial"/>
          <w:color w:val="526577"/>
          <w:sz w:val="19"/>
          <w:lang w:val="ar" w:eastAsia="ar" w:bidi="ar"/>
        </w:rPr>
        <w:t>متطلبات الدفاع المؤسسي والأمن ومعدات الحماية والدعم الميداني</w:t>
      </w:r>
    </w:p>
    <w:tbl>
      <w:tblPr>
        <w:tblW w:type="dxa" w:w="10106"/>
        <w:jc w:val="center"/>
        <w:tblLayout w:type="fixed"/>
        <w:tblLook w:firstColumn="1" w:firstRow="1" w:lastColumn="0" w:lastRow="0" w:noHBand="0" w:noVBand="1" w:val="04A0"/>
        <w:tblInd w:w="120" w:type="dxa"/>
        <w:bidiVisual/>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رمز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OLYD-FRM-CBR-001</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الإصدار / تاريخ السريان</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3.0 / 2 أغسطس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التصنيف</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نموذج أعمال خاضع للضبط</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مالك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اللغة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العربية</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الحالة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جاهز للنشر / نسخة أصلية خاضعة للضبط</w:t>
            </w:r>
          </w:p>
        </w:tc>
      </w:tr>
    </w:tbl>
    <w:tbl>
      <w:tblPr>
        <w:tblW w:type="dxa" w:w="10106"/>
        <w:jc w:val="center"/>
        <w:tblLayout w:type="fixed"/>
        <w:tblLook w:firstColumn="1" w:firstRow="1" w:lastColumn="0" w:lastRow="0" w:noHBand="0" w:noVBand="1" w:val="04A0"/>
        <w:tblInd w:w="120" w:type="dxa"/>
        <w:bidiVisual/>
        <w:tblCaption w:val="الغرض"/>
        <w:tblDescription w:val="استخدم هذا النموذج الخاضع للرقابة لتحديد المتطلبات المؤسسية القانونية وغير الحساسة. تقوم OLYDEFENCE بمراجعة السلطة والأطراف والوجهة النهائية والمستخدم النهائي والاستخدام النهائي والتصنيف والترخيص والعقوبات وضوابط مكافحة "/>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right"/>
              <w:bidi/>
            </w:pPr>
            <w:r/>
            <w:r>
              <w:rPr>
                <w:rFonts w:ascii="Arial" w:hAnsi="Arial" w:eastAsia="Arial" w:cs="Arial"/>
                <w:b/>
                <w:i w:val="0"/>
                <w:color w:val="FFFFFF"/>
                <w:sz w:val="18"/>
                <w:lang w:val="ar" w:eastAsia="ar" w:bidi="ar"/>
              </w:rPr>
              <w:t>الغرض</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bidi/>
            </w:pPr>
            <w:r/>
            <w:r>
              <w:rPr>
                <w:rFonts w:ascii="Arial" w:hAnsi="Arial" w:eastAsia="Arial" w:cs="Arial"/>
                <w:color w:val="102334"/>
                <w:sz w:val="17"/>
                <w:lang w:val="ar" w:eastAsia="ar" w:bidi="ar"/>
              </w:rPr>
              <w:t>استخدم هذا النموذج الخاضع للرقابة لتحديد المتطلبات المؤسسية القانونية وغير الحساسة. تقوم OLYDEFENCE بمراجعة السلطة والأطراف والوجهة النهائية والمستخدم النهائي والاستخدام النهائي والتصنيف والترخيص والعقوبات وضوابط مكافحة التحويل وأدلة المنتج والخدمات اللوجستية ودعم دورة الحياة قبل أي تقدم تجاري.</w:t>
            </w:r>
          </w:p>
        </w:tc>
      </w:tr>
    </w:tbl>
    <w:tbl>
      <w:tblPr>
        <w:tblW w:type="dxa" w:w="10106"/>
        <w:jc w:val="center"/>
        <w:tblLayout w:type="fixed"/>
        <w:tblLook w:firstColumn="1" w:firstRow="1" w:lastColumn="0" w:lastRow="0" w:noHBand="0" w:noVBand="1" w:val="04A0"/>
        <w:tblInd w:w="120" w:type="dxa"/>
        <w:bidiVisual/>
        <w:tblCaption w:val="تعليمات الإكمال"/>
        <w:tblDescription w:val="أكمل كل الحقول المعمول بها. استخدم أوصافًا عامة وغير حساسة واستشهد بالأدلة حسب عنوان المستند ومصدره ورقمه ومراجعته وتاريخه. ضع علامة &quot;غير قابل للتطبيق&quot; لسبب ما. قد تطلب OLYDEFENCE توضيحًا أو العناية الواجبة المعززة أو تب"/>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تعليمات الإكمال</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أكمل كل الحقول المعمول بها. استخدم أوصافًا عامة وغير حساسة واستشهد بالأدلة حسب عنوان المستند ومصدره ورقمه ومراجعته وتاريخه. ضع علامة "غير قابل للتطبيق" لسبب ما. قد تطلب OLYDEFENCE توضيحًا أو العناية الواجبة المعززة أو تبادلًا آمنًا لغرفة المستندات.</w:t>
            </w:r>
          </w:p>
        </w:tc>
      </w:tr>
    </w:tbl>
    <w:tbl>
      <w:tblPr>
        <w:tblW w:type="dxa" w:w="10106"/>
        <w:jc w:val="center"/>
        <w:tblLayout w:type="fixed"/>
        <w:tblLook w:firstColumn="1" w:firstRow="1" w:lastColumn="0" w:lastRow="0" w:noHBand="0" w:noVBand="1" w:val="04A0"/>
        <w:tblInd w:w="120" w:type="dxa"/>
        <w:bidiVisual/>
        <w:tblCaption w:val="الخصوصية والتعامل الآمن مع الوثائق"/>
        <w:tblDescription w:val="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الخصوصية والتعامل الآمن مع الوثائق</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حتى يتم تأكيد القناة الآمنة المعتمدة والمستلمين المعتمدين.</w:t>
            </w:r>
          </w:p>
          <w:p>
            <w:pPr>
              <w:spacing w:before="60" w:after="0" w:line="240" w:lineRule="auto"/>
              <w:jc w:val="right"/>
              <w:bidi/>
            </w:pPr>
            <w:hyperlink r:id="rId11">
              <w:r>
                <w:rPr>
                  <w:color w:val="866A20"/>
                  <w:u w:val="single"/>
                </w:rPr>
                <w:t>اقرأ إشعار الخصوصية لدى OLYVENRA</w:t>
              </w:r>
            </w:hyperlink>
          </w:p>
        </w:tc>
      </w:tr>
    </w:tbl>
    <w:tbl>
      <w:tblPr>
        <w:tblW w:type="dxa" w:w="10106"/>
        <w:jc w:val="center"/>
        <w:tblLayout w:type="fixed"/>
        <w:tblLook w:firstColumn="1" w:firstRow="1" w:lastColumn="0" w:lastRow="0" w:noHBand="0" w:noVBand="1" w:val="04A0"/>
        <w:tblInd w:w="120" w:type="dxa"/>
        <w:bidiVisual/>
        <w:tblCaption w:val="حدود التوريد الخاضع للضبط والمعلومات الآمنة"/>
        <w:tblDescription w:val="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right"/>
              <w:bidi/>
            </w:pPr>
            <w:r/>
            <w:r>
              <w:rPr>
                <w:rFonts w:ascii="Arial" w:hAnsi="Arial" w:eastAsia="Arial" w:cs="Arial"/>
                <w:b/>
                <w:i w:val="0"/>
                <w:color w:val="FFFFFF"/>
                <w:sz w:val="18"/>
                <w:lang w:val="ar" w:eastAsia="ar" w:bidi="ar"/>
              </w:rPr>
              <w:t>حدود التوريد الخاضع للضبط والمعلومات الآمنة</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right"/>
              <w:bidi/>
            </w:pPr>
            <w:r/>
            <w:r>
              <w:rPr>
                <w:rFonts w:ascii="Arial" w:hAnsi="Arial" w:eastAsia="Arial" w:cs="Arial"/>
                <w:color w:val="102334"/>
                <w:sz w:val="17"/>
                <w:lang w:val="ar" w:eastAsia="ar" w:bidi="ar"/>
              </w:rPr>
              <w:t>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المرخصة. نطاق مجموعة الإسعافات الأولية العامة لا يشمل الأدوية؛ يجب أن يستخدم أي طلب دواء قناة مرخصة منفصلة عندما يكون ذلك قانونيًا.</w:t>
            </w:r>
          </w:p>
        </w:tc>
      </w:tr>
    </w:tbl>
    <w:p>
      <w:pPr>
        <w:pStyle w:val="Heading1"/>
        <w:spacing w:before="160" w:after="80" w:line="240" w:lineRule="auto"/>
        <w:jc w:val="right"/>
        <w:keepNext/>
        <w:bidi/>
      </w:pPr>
      <w:r>
        <w:rPr>
          <w:rFonts w:ascii="Arial" w:hAnsi="Arial" w:eastAsia="Arial" w:cs="Arial"/>
          <w:b/>
          <w:color w:val="866A20"/>
          <w:sz w:val="25"/>
          <w:lang w:val="ar" w:eastAsia="ar" w:bidi="ar"/>
        </w:rPr>
        <w:t>هوية المنظمة وسلطتها</w:t>
      </w:r>
    </w:p>
    <w:tbl>
      <w:tblPr>
        <w:tblW w:type="dxa" w:w="10106"/>
        <w:jc w:val="center"/>
        <w:tblLayout w:type="fixed"/>
        <w:tblLook w:firstColumn="1" w:firstRow="1" w:lastColumn="0" w:lastRow="0" w:noHBand="0" w:noVBand="1" w:val="04A0"/>
        <w:tblInd w:w="120" w:type="dxa"/>
        <w:bidiVisual/>
        <w:tblCaption w:val="هوية المنظمة وسلطتها"/>
        <w:tblDescription w:val="هوية المنظمة وسلطتها: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الاسم القانوني الكامل والاسم التجاري</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اسم القانوني الكامل والاسم التجاري"/>
                <w:tag w:val="olydefence.v3.buyer-requirement.ar.identity.legal_name"/>
                <w:id w:val="56463888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رقم التسجيل والبلد والعنوان المسجل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رقم التسجيل والبلد والعنوان المسجل"/>
                <w:tag w:val="olydefence.v3.buyer-requirement.ar.identity.registration"/>
                <w:id w:val="212064523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موقع الشركة والملف الشخصي العام الذي يمكن التحقق منه</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وقع الشركة والملف الشخصي العام الذي يمكن التحقق منه"/>
                <w:tag w:val="olydefence.v3.buyer-requirement.ar.identity.website"/>
                <w:id w:val="158665809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جهة الاتصال المعتمدة: الاسم والمسمى الوظيفي والقسم والبريد الإلكتروني والهاتف</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هة الاتصال المعتمدة: الاسم والمسمى الوظيفي والقسم والبريد الإلكتروني والهاتف"/>
                <w:tag w:val="olydefence.v3.buyer-requirement.ar.identity.contact"/>
                <w:id w:val="107428092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الولاية العامة أو سلطة الشراء أو الأساس لتمثيل المنظمة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ولاية العامة أو سلطة الشراء أو الأساس لتمثيل المنظمة"/>
                <w:tag w:val="olydefence.v3.buyer-requirement.ar.identity.authority_basis"/>
                <w:id w:val="133135855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نوع المنظمة ودورها في الصفقة المقترحة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وع المنظمة ودورها في الصفقة المقترحة"/>
                <w:tag w:val="olydefence.v3.buyer-requirement.ar.identity.organisation_type"/>
                <w:id w:val="94234530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مسار المتطلبات والمشتريات</w:t>
      </w:r>
    </w:p>
    <w:tbl>
      <w:tblPr>
        <w:tblW w:type="dxa" w:w="10106"/>
        <w:jc w:val="center"/>
        <w:tblLayout w:type="fixed"/>
        <w:tblLook w:firstColumn="1" w:firstRow="1" w:lastColumn="0" w:lastRow="0" w:noHBand="0" w:noVBand="1" w:val="04A0"/>
        <w:tblInd w:w="120" w:type="dxa"/>
        <w:bidiVisual/>
        <w:tblCaption w:val="مسار المتطلبات والمشتريات"/>
        <w:tblDescription w:val="مسار المتطلبات والمشتريات: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مرجع العطاء أو الإطار أو المشروع أو الفرصة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رجع العطاء أو الإطار أو المشروع أو الفرصة"/>
                <w:tag w:val="olydefence.v3.buyer-requirement.ar.requirement.tender"/>
                <w:id w:val="121097507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مسار الشراء وسلطة التعاقد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سار الشراء وسلطة التعاقد"/>
                <w:tag w:val="olydefence.v3.buyer-requirement.ar.requirement.route"/>
                <w:id w:val="97269059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ملخص المتطلبات غير الحساسة والبيئة التشغيلية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لخص المتطلبات غير الحساسة والبيئة التشغيلية"/>
                <w:tag w:val="olydefence.v3.buyer-requirement.ar.requirement.requirement_summary"/>
                <w:id w:val="74272029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عائلة المنتج أو فئة الخدمة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ائلة المنتج أو فئة الخدمة"/>
                <w:tag w:val="olydefence.v3.buyer-requirement.ar.requirement.category"/>
                <w:id w:val="183838542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الكمية الإرشادية ووحدات الإصدار والتنبؤ</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كمية الإرشادية ووحدات الإصدار والتنبؤ"/>
                <w:tag w:val="olydefence.v3.buyer-requirement.ar.requirement.quantity"/>
                <w:id w:val="7429635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تاريخ التسليم أو التنفيذ أو الجاهزية المطلوبة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تاريخ التسليم أو التنفيذ أو الجاهزية المطلوبة"/>
                <w:tag w:val="olydefence.v3.buyer-requirement.ar.requirement.timeline"/>
                <w:id w:val="38602223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الميزانية/العملة الإرشادية، إذا كان من الممكن الإفصاح عنها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يزانية/العملة الإرشادية، إذا كان من الممكن الإفصاح عنها"/>
                <w:tag w:val="olydefence.v3.buyer-requirement.ar.requirement.budget"/>
                <w:id w:val="18538951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الأطراف والوجهة والمستخدم النهائي والاستخدام النهائي</w:t>
      </w:r>
    </w:p>
    <w:tbl>
      <w:tblPr>
        <w:tblW w:type="dxa" w:w="10106"/>
        <w:jc w:val="center"/>
        <w:tblLayout w:type="fixed"/>
        <w:tblLook w:firstColumn="1" w:firstRow="1" w:lastColumn="0" w:lastRow="0" w:noHBand="0" w:noVBand="1" w:val="04A0"/>
        <w:tblInd w:w="120" w:type="dxa"/>
        <w:bidiVisual/>
        <w:tblCaption w:val="الأطراف والوجهة والمستخدم النهائي والاستخدام النهائي"/>
        <w:tblDescription w:val="الأطراف والوجهة والمستخدم النهائي والاستخدام النهائي: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المشتري وجهة التعاقد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شتري وجهة التعاقد"/>
                <w:tag w:val="olydefence.v3.buyer-requirement.ar.parties.buyer"/>
                <w:id w:val="99877201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المرسل إليه والمستورد وموقع التسليم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رسل إليه والمستورد وموقع التسليم"/>
                <w:tag w:val="olydefence.v3.buyer-requirement.ar.parties.consignee"/>
                <w:id w:val="190565148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منظمة ووحدة المستخدم النهائي، حيث يمكن الكشف عنها بشكل قانوني</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نظمة ووحدة المستخدم النهائي، حيث يمكن الكشف عنها بشكل قانوني"/>
                <w:tag w:val="olydefence.v3.buyer-requirement.ar.parties.end_user"/>
                <w:id w:val="78076585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بلد الوجهة النهائية والموقع المعلن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بلد الوجهة النهائية والموقع المعلن"/>
                <w:tag w:val="olydefence.v3.buyer-requirement.ar.parties.destination"/>
                <w:id w:val="56795929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الاستخدام النهائي المقصود الموثق وعدد المستخدمين المصرح لهم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استخدام النهائي المقصود الموثق وعدد المستخدمين المصرح لهم"/>
                <w:tag w:val="olydefence.v3.buyer-requirement.ar.parties.intended_end_use"/>
                <w:id w:val="56079966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الحضانة والمساءلة والتخزين الآمن وضوابط الإصدار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حضانة والمساءلة والتخزين الآمن وضوابط الإصدار"/>
                <w:tag w:val="olydefence.v3.buyer-requirement.ar.parties.custody"/>
                <w:id w:val="163122437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قيود إعادة النقل أو إعادة التصدير أو إعادة البيع أو الإفصاح المستمر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قيود إعادة النقل أو إعادة التصدير أو إعادة البيع أو الإفصاح المستمر"/>
                <w:tag w:val="olydefence.v3.buyer-requirement.ar.parties.retransfer"/>
                <w:id w:val="47154353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الوكلاء والوسطاء والمستشارون وأطراف الشحن والوسطاء الآخرون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وكلاء والوسطاء والمستشارون وأطراف الشحن والوسطاء الآخرون"/>
                <w:tag w:val="olydefence.v3.buyer-requirement.ar.parties.intermediaries"/>
                <w:id w:val="110197378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التصنيف والترخيص والنقل المسؤول</w:t>
      </w:r>
    </w:p>
    <w:tbl>
      <w:tblPr>
        <w:tblW w:type="dxa" w:w="10106"/>
        <w:jc w:val="center"/>
        <w:tblLayout w:type="fixed"/>
        <w:tblLook w:firstColumn="1" w:firstRow="1" w:lastColumn="0" w:lastRow="0" w:noHBand="0" w:noVBand="1" w:val="04A0"/>
        <w:tblInd w:w="120" w:type="dxa"/>
        <w:bidiVisual/>
        <w:tblCaption w:val="التصنيف والترخيص والنقل المسؤول"/>
        <w:tblDescription w:val="التصنيف والترخيص والنقل المسؤول: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التصنيف العسكري المقترح أو الاستخدام المزدوج أو الأسلحة النارية أو معدات الوقاية الشخصية أو الأجهزة الطبية أو البضائع الخطرة أو أي تصنيف آخر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صنيف العسكري المقترح أو الاستخدام المزدوج أو الأسلحة النارية أو معدات الوقاية الشخصية أو الأجهزة الطبية أو البضائع الخطرة أو أي تصنيف آخر"/>
                <w:tag w:val="olydefence.v3.buyer-requirement.ar.classification.classification"/>
                <w:id w:val="152928073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قائمة المراقبة المطبقة أو مراجع الجمارك/التعريفة الجمركية أو السلع الخطرة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قائمة المراقبة المطبقة أو مراجع الجمارك/التعريفة الجمركية أو السلع الخطرة"/>
                <w:tag w:val="olydefence.v3.buyer-requirement.ar.classification.control_codes"/>
                <w:id w:val="175059899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التصدير أو الاستيراد أو العبور أو السمسرة أو صاحب الترخيص الآخر وحالته</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صدير أو الاستيراد أو العبور أو السمسرة أو صاحب الترخيص الآخر وحالته"/>
                <w:tag w:val="olydefence.v3.buyer-requirement.ar.classification.licence_owner"/>
                <w:id w:val="10405480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العقوبات المطبقة والحظر وحالة المراجعة للأطراف المقيدة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عقوبات المطبقة والحظر وحالة المراجعة للأطراف المقيدة"/>
                <w:tag w:val="olydefence.v3.buyer-requirement.ar.classification.sanctions"/>
                <w:id w:val="55412701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اعتبارات حقوق الإنسان والقانون الإنساني الدولي تنطوي على مخاطر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عتبارات حقوق الإنسان والقانون الإنساني الدولي تنطوي على مخاطر"/>
                <w:tag w:val="olydefence.v3.buyer-requirement.ar.classification.human_rights"/>
                <w:id w:val="106280265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مؤشرات التحويل والضوابط المعززة ومسار التصعيد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ؤشرات التحويل والضوابط المعززة ومسار التصعيد"/>
                <w:tag w:val="olydefence.v3.buyer-requirement.ar.classification.diversion"/>
                <w:id w:val="11872849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هوية المنتج والتكوين والأدلة</w:t>
      </w:r>
    </w:p>
    <w:tbl>
      <w:tblPr>
        <w:tblW w:type="dxa" w:w="10106"/>
        <w:jc w:val="center"/>
        <w:tblLayout w:type="fixed"/>
        <w:tblLook w:firstColumn="1" w:firstRow="1" w:lastColumn="0" w:lastRow="0" w:noHBand="0" w:noVBand="1" w:val="04A0"/>
        <w:tblInd w:w="120" w:type="dxa"/>
        <w:bidiVisual/>
        <w:tblCaption w:val="هوية المنتج والتكوين والأدلة"/>
        <w:tblDescription w:val="هوية المنتج والتكوين والأدل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الشركة المصنعة القانونية وموقع الإنتاج وطريق التوريد المعتمد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شركة المصنعة القانونية وموقع الإنتاج وطريق التوريد المعتمد"/>
                <w:tag w:val="olydefence.v3.buyer-requirement.ar.product.manufacturer"/>
                <w:id w:val="197710645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التسمية العامة أو النموذج/التكوين أو رقم الجزء أو الكتالوج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سمية العامة أو النموذج/التكوين أو رقم الجزء أو الكتالوج"/>
                <w:tag w:val="olydefence.v3.buyer-requirement.ar.product.designation"/>
                <w:id w:val="38991675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واجهات إلزامية والظروف البيئية ومعايير الأداء</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واجهات إلزامية والظروف البيئية ومعايير الأداء"/>
                <w:tag w:val="olydefence.v3.buyer-requirement.ar.product.technical_need"/>
                <w:id w:val="86424161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المواصفات الحالية وتقرير الاختبار والشهادة والتسمية ومراجع التعليمات</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واصفات الحالية وتقرير الاختبار والشهادة والتسمية ومراجع التعليمات"/>
                <w:tag w:val="olydefence.v3.buyer-requirement.ar.product.evidence_basis"/>
                <w:id w:val="64610427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نموذج تحديد التسلسل أو الدفعة أو الدفعة وإمكانية التتبع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موذج تحديد التسلسل أو الدفعة أو الدفعة وإمكانية التتبع"/>
                <w:tag w:val="olydefence.v3.buyer-requirement.ar.product.serial_lot"/>
                <w:id w:val="94402940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قواعد المعادل المعتمد وقواعد الاستبدال/التحكم في التغيير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قواعد المعادل المعتمد وقواعد الاستبدال/التحكم في التغيير"/>
                <w:tag w:val="olydefence.v3.buyer-requirement.ar.product.substitution"/>
                <w:id w:val="88353857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خطة التفتيش والاختبار وأخذ العينات والقبول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خطة التفتيش والاختبار وأخذ العينات والقبول"/>
                <w:tag w:val="olydefence.v3.buyer-requirement.ar.product.acceptance"/>
                <w:id w:val="197066131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متطلبات التوافق أو التكامل التي يتحكم فيها العميل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تطلبات التوافق أو التكامل التي يتحكم فيها العميل"/>
                <w:tag w:val="olydefence.v3.buyer-requirement.ar.product.compatibility"/>
                <w:id w:val="205379821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ضوابط خاصة بالذخيرة طوال عمرها، إن أمكن</w:t>
      </w:r>
    </w:p>
    <w:tbl>
      <w:tblPr>
        <w:tblW w:type="dxa" w:w="10106"/>
        <w:jc w:val="center"/>
        <w:tblLayout w:type="fixed"/>
        <w:tblLook w:firstColumn="1" w:firstRow="1" w:lastColumn="0" w:lastRow="0" w:noHBand="0" w:noVBand="1" w:val="04A0"/>
        <w:tblInd w:w="120" w:type="dxa"/>
        <w:bidiVisual/>
        <w:tblCaption w:val="ضوابط خاصة بالذخيرة طوال عمرها، إن أمكن"/>
        <w:tblDescription w:val="ضوابط خاصة بالذخيرة طوال عمرها، إن أمكن: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عائلة الذخيرة العامة والمنصة/الواجهة المعتمدة وحالة التدريب/الخدمة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ائلة الذخيرة العامة والمنصة/الواجهة المعتمدة وحالة التدريب/الخدمة"/>
                <w:tag w:val="olydefence.v3.buyer-requirement.ar.ammo.ammo_type"/>
                <w:id w:val="113459084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الشركة المصنعة، والتعيين، والدفعة/الدفعة، وتاريخ الإنتاج، وسجلات الإثبات/القبول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شركة المصنعة، والتعيين، والدفعة/الدفعة، وتاريخ الإنتاج، وسجلات الإثبات/القبول"/>
                <w:tag w:val="olydefence.v3.buyer-requirement.ar.ammo.ammo_lot"/>
                <w:id w:val="96219948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مدة الصلاحية وحالة المراقبة/التفتيش ومتطلبات العمر المتبقي</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دة الصلاحية وحالة المراقبة/التفتيش ومتطلبات العمر المتبقي"/>
                <w:tag w:val="olydefence.v3.buyer-requirement.ar.ammo.ammo_shelf"/>
                <w:id w:val="116659296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وصف البضائع الخطرة وتعليمات التغليف وشروط النقل/التخزين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وصف البضائع الخطرة وتعليمات التغليف وشروط النقل/التخزين"/>
                <w:tag w:val="olydefence.v3.buyer-requirement.ar.ammo.ammo_dg"/>
                <w:id w:val="91843639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مسؤوليات المحاسبة وتدوير المخزون والحوادث والاسترداد والتخلص</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سؤوليات المحاسبة وتدوير المخزون والحوادث والاسترداد والتخلص"/>
                <w:tag w:val="olydefence.v3.buyer-requirement.ar.ammo.ammo_disposal"/>
                <w:id w:val="129224936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معدات الحماية وأدوات التحكم الطبية، إن وجدت</w:t>
      </w:r>
    </w:p>
    <w:tbl>
      <w:tblPr>
        <w:tblW w:type="dxa" w:w="10106"/>
        <w:jc w:val="center"/>
        <w:tblLayout w:type="fixed"/>
        <w:tblLook w:firstColumn="1" w:firstRow="1" w:lastColumn="0" w:lastRow="0" w:noHBand="0" w:noVBand="1" w:val="04A0"/>
        <w:tblInd w:w="120" w:type="dxa"/>
        <w:bidiVisual/>
        <w:tblCaption w:val="معدات الحماية وأدوات التحكم الطبية، إن وجدت"/>
        <w:tblDescription w:val="معدات الحماية وأدوات التحكم الطبية، إن وجدت: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مستوى التهديد/الحماية المحدد والإصدار القياسي/الاختباري الدقيق</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ستوى التهديد/الحماية المحدد والإصدار القياسي/الاختباري الدقيق"/>
                <w:tag w:val="olydefence.v3.buyer-requirement.ar.protective.threat"/>
                <w:id w:val="199083493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مختبر خاص بالنموذج/التكوين وأدلة المطابقة والتكييف</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ختبر خاص بالنموذج/التكوين وأدلة المطابقة والتكييف"/>
                <w:tag w:val="olydefence.v3.buyer-requirement.ar.protective.protective_evidence"/>
                <w:id w:val="125410315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عدد المستخدمين، والتحجيم، وبيئة العمل، والتغطية، والكتلة، ومتطلبات الرعاية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دد المستخدمين، والتحجيم، وبيئة العمل، والتغطية، والكتلة، ومتطلبات الرعاية"/>
                <w:tag w:val="olydefence.v3.buyer-requirement.ar.protective.sizing"/>
                <w:id w:val="8954656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نوع مجموعة أدوات الإسعافات الأولية/الصدمات، وقائمة المحتويات المعتمدة وبروتوكول المستخدم المدرب</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وع مجموعة أدوات الإسعافات الأولية/الصدمات، وقائمة المحتويات المعتمدة وبروتوكول المستخدم المدرب"/>
                <w:tag w:val="olydefence.v3.buyer-requirement.ar.protective.kit_protocol"/>
                <w:id w:val="166587282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الشركة المصنعة للعناصر الطبية، وحالة الجهاز، والدفعة، والعقم، وانتهاء الصلاحية، والتجديد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شركة المصنعة للعناصر الطبية، وحالة الجهاز، والدفعة، والعقم، وانتهاء الصلاحية، والتجديد"/>
                <w:tag w:val="olydefence.v3.buyer-requirement.ar.protective.medical_trace"/>
                <w:id w:val="148001713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التأكد من استبعاد الأدوية أو توجيهها بشكل منفصل عبر القنوات المرخصة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أكد من استبعاد الأدوية أو توجيهها بشكل منفصل عبر القنوات المرخصة"/>
                <w:tag w:val="olydefence.v3.buyer-requirement.ar.protective.medicine_exclusion"/>
                <w:id w:val="76168694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الخدمات اللوجستية والتخزين والأمن ودورة الحياة</w:t>
      </w:r>
    </w:p>
    <w:tbl>
      <w:tblPr>
        <w:tblW w:type="dxa" w:w="10106"/>
        <w:jc w:val="center"/>
        <w:tblLayout w:type="fixed"/>
        <w:tblLook w:firstColumn="1" w:firstRow="1" w:lastColumn="0" w:lastRow="0" w:noHBand="0" w:noVBand="1" w:val="04A0"/>
        <w:tblInd w:w="120" w:type="dxa"/>
        <w:bidiVisual/>
        <w:tblCaption w:val="الخدمات اللوجستية والتخزين والأمن ودورة الحياة"/>
        <w:tblDescription w:val="الخدمات اللوجستية والتخزين والأمن ودورة الحيا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مصطلح التجارة الدولية ونقطة التسليم والجدول الزمني ومتطلبات الاستلام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صطلح التجارة الدولية ونقطة التسليم والجدول الزمني ومتطلبات الاستلام"/>
                <w:tag w:val="olydefence.v3.buyer-requirement.ar.logistics.delivery"/>
                <w:id w:val="207000567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متطلبات التعبئة والتغليف ووضع العلامات ووضع العلامات والحفظ ووحدة الإصدار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تطلبات التعبئة والتغليف ووضع العلامات ووضع العلامات والحفظ ووحدة الإصدار"/>
                <w:tag w:val="olydefence.v3.buyer-requirement.ar.logistics.packaging"/>
                <w:id w:val="145383157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وضع النقل ومسؤولية البضائع الخطرة والتصاريح والخطة الأمنية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وضع النقل ومسؤولية البضائع الخطرة والتصاريح والخطة الأمنية"/>
                <w:tag w:val="olydefence.v3.buyer-requirement.ar.logistics.transport"/>
                <w:id w:val="184287209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بيئة التخزين والتحكم في الوصول والمخزون ومراقبة الحالة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بيئة التخزين والتحكم في الوصول والمخزون ومراقبة الحالة"/>
                <w:tag w:val="olydefence.v3.buyer-requirement.ar.logistics.storage"/>
                <w:id w:val="18881599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جمهور التدريب المعتمد والنطاق وأدلة الكفاءة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مهور التدريب المعتمد والنطاق وأدلة الكفاءة"/>
                <w:tag w:val="olydefence.v3.buyer-requirement.ar.logistics.training"/>
                <w:id w:val="158242118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سلطة الصيانة والتفتيش والمعايرة والأدوات وسجلات العودة إلى الخدمة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سلطة الصيانة والتفتيش والمعايرة والأدوات وسجلات العودة إلى الخدمة"/>
                <w:tag w:val="olydefence.v3.buyer-requirement.ar.logistics.maintenance"/>
                <w:id w:val="47040945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قطع الغيار والمواد الاستهلاكية والضمان ومستويات الخدمة وخطة التقادم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قطع الغيار والمواد الاستهلاكية والضمان ومستويات الخدمة وخطة التقادم"/>
                <w:tag w:val="olydefence.v3.buyer-requirement.ar.logistics.support"/>
                <w:id w:val="122799693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مسؤوليات العودة أو التجريد من السلاح أو التدمير أو إعادة التدوير أو التخلص</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سؤوليات العودة أو التجريد من السلاح أو التدمير أو إعادة التدوير أو التخلص"/>
                <w:tag w:val="olydefence.v3.buyer-requirement.ar.logistics.disposal"/>
                <w:id w:val="74717967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الإقرار والتوقيع المعتمد</w:t>
      </w:r>
    </w:p>
    <w:tbl>
      <w:tblPr>
        <w:tblW w:type="dxa" w:w="10106"/>
        <w:jc w:val="center"/>
        <w:tblLayout w:type="fixed"/>
        <w:tblLook w:firstColumn="1" w:firstRow="1" w:lastColumn="0" w:lastRow="0" w:noHBand="0" w:noVBand="1" w:val="04A0"/>
        <w:tblInd w:w="120" w:type="dxa"/>
        <w:bidiVisual/>
        <w:tblCaption w:val="الإقرار والتوقيع المعتمد"/>
        <w:tblDescription w:val="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keepNext/>
              <w:bidi/>
            </w:pPr>
            <w:r/>
            <w:r>
              <w:rPr>
                <w:rFonts w:ascii="Arial" w:hAnsi="Arial" w:eastAsia="Arial" w:cs="Arial"/>
                <w:b/>
                <w:i w:val="0"/>
                <w:color w:val="FFFFFF"/>
                <w:sz w:val="18"/>
                <w:lang w:val="ar" w:eastAsia="ar" w:bidi="ar"/>
              </w:rPr>
              <w:t>الإقرار والتوقيع المعتمد</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keepNext/>
              <w:bidi/>
            </w:pPr>
            <w:r/>
            <w:r>
              <w:rPr>
                <w:rFonts w:ascii="Arial" w:hAnsi="Arial" w:eastAsia="Arial" w:cs="Arial"/>
                <w:color w:val="102334"/>
                <w:sz w:val="17"/>
                <w:lang w:val="ar" w:eastAsia="ar" w:bidi="ar"/>
              </w:rPr>
              <w:t>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الترخيص أو الالتزام بالمعاملة.</w:t>
            </w:r>
          </w:p>
        </w:tc>
      </w:tr>
    </w:tbl>
    <w:tbl>
      <w:tblPr>
        <w:tblW w:type="dxa" w:w="10106"/>
        <w:jc w:val="center"/>
        <w:tblLayout w:type="fixed"/>
        <w:tblLook w:firstColumn="1" w:firstRow="1" w:lastColumn="0" w:lastRow="0" w:noHBand="0" w:noVBand="1" w:val="04A0"/>
        <w:tblInd w:w="120" w:type="dxa"/>
        <w:bidiVisual/>
        <w:tblCaption w:val="الإقرار والتوقيع المعتمد"/>
        <w:tblDescription w:val="الإقرار والتوقيع المعتمد: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المُصرح المعتمد: الاسم الكامل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صرح المعتمد: الاسم الكامل"/>
                <w:tag w:val="olydefence.v3.buyer-requirement.ar.declaration.declaration_name"/>
                <w:id w:val="190433742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الموقف والتنظيم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وقف والتنظيم"/>
                <w:tag w:val="olydefence.v3.buyer-requirement.ar.declaration.declaration_title"/>
                <w:id w:val="66378470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أساس السلطة لتقديم هذا النموذج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أساس السلطة لتقديم هذا النموذج"/>
                <w:tag w:val="olydefence.v3.buyer-requirement.ar.declaration.declaration_basis"/>
                <w:id w:val="205071722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التوقيع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وقيع"/>
                <w:tag w:val="olydefence.v3.buyer-requirement.ar.declaration.signature"/>
                <w:id w:val="133628408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التاريخ</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اريخ"/>
                <w:tag w:val="olydefence.v3.buyer-requirement.ar.declaration.date"/>
                <w:id w:val="180384643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bidiVisual/>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right"/>
            <w:bidi/>
          </w:pPr>
          <w:r/>
          <w:r>
            <w:rPr>
              <w:rFonts w:ascii="Arial" w:hAnsi="Arial" w:eastAsia="Arial" w:cs="Arial"/>
              <w:b/>
              <w:i w:val="0"/>
              <w:color w:val="051C2B"/>
              <w:sz w:val="15"/>
              <w:lang w:val="ar" w:eastAsia="ar" w:bidi="ar"/>
            </w:rPr>
            <w:t>OLYD-FRM-CBR-001 · V3.0</w:t>
          </w:r>
        </w:p>
      </w:tc>
      <w:tc>
        <w:tcPr>
          <w:tcW w:type="dxa" w:w="4050"/>
          <w:tcMar>
            <w:top w:w="55" w:type="dxa"/>
            <w:start w:w="90" w:type="dxa"/>
            <w:bottom w:w="55" w:type="dxa"/>
            <w:end w:w="90" w:type="dxa"/>
          </w:tcMar>
          <w:vAlign w:val="center"/>
          <w:shd w:fill="F3F6F8" w:val="clear"/>
        </w:tcPr>
        <w:p>
          <w:pPr>
            <w:spacing w:before="0" w:after="0" w:line="240" w:lineRule="auto"/>
            <w:jc w:val="center"/>
            <w:bidi/>
          </w:pPr>
          <w:r/>
          <w:r>
            <w:rPr>
              <w:rFonts w:ascii="Arial" w:hAnsi="Arial" w:eastAsia="Arial" w:cs="Arial"/>
              <w:b w:val="0"/>
              <w:i w:val="0"/>
              <w:color w:val="526577"/>
              <w:sz w:val="14"/>
              <w:lang w:val="ar" w:eastAsia="ar" w:bidi="ar"/>
            </w:rPr>
            <w:t>نموذج أعمال خاضع للضبط عند عرضه إلكترونياً</w:t>
          </w:r>
        </w:p>
      </w:tc>
      <w:tc>
        <w:tcPr>
          <w:tcW w:type="dxa" w:w="2706"/>
          <w:tcMar>
            <w:top w:w="55" w:type="dxa"/>
            <w:start w:w="90" w:type="dxa"/>
            <w:bottom w:w="55" w:type="dxa"/>
            <w:end w:w="90" w:type="dxa"/>
          </w:tcMar>
          <w:vAlign w:val="center"/>
          <w:shd w:fill="F3F6F8" w:val="clear"/>
        </w:tcPr>
        <w:p>
          <w:pPr>
            <w:spacing w:before="0" w:after="0" w:line="247" w:lineRule="auto"/>
            <w:jc w:val="left"/>
            <w:bidi/>
          </w:pPr>
          <w:r>
            <w:rPr>
              <w:rFonts w:ascii="Arial" w:hAnsi="Arial" w:eastAsia="Arial" w:cs="Arial"/>
              <w:b/>
              <w:color w:val="051C2B"/>
              <w:sz w:val="15"/>
              <w:lang w:val="ar" w:eastAsia="ar" w:bidi="ar"/>
            </w:rPr>
            <w:t xml:space="preserve">الصفحة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NUMPAGES</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r>
            <w:rPr>
              <w:rFonts w:ascii="Arial" w:hAnsi="Arial" w:eastAsia="Arial" w:cs="Arial"/>
              <w:color w:val="526577"/>
              <w:sz w:val="15"/>
              <w:lang w:val="ar" w:eastAsia="ar" w:bidi="ar"/>
            </w:rPr>
            <w:t xml:space="preserve"> /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PAGE</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bidiVisual/>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bidi/>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left"/>
            <w:bidi/>
          </w:pPr>
          <w:r>
            <w:rPr>
              <w:rFonts w:ascii="Arial" w:hAnsi="Arial" w:eastAsia="Arial" w:cs="Arial"/>
              <w:b/>
              <w:color w:val="FFFFFF"/>
              <w:sz w:val="16"/>
              <w:lang w:val="ar" w:eastAsia="ar" w:bidi="ar"/>
            </w:rPr>
            <w:t>توريد الدفاع والأمن والمرونة</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ar" w:bidi="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متطلبات المشتري المعتمد</dc:title>
  <dc:subject>متطلبات الدفاع المؤسسي والأمن ومعدات الحماية والدعم الميداني</dc:subject>
  <dc:creator/>
  <cp:keywords>OLYDEFENCE, controlled procurement, responsible transfer, due diligence, document control</cp:keywords>
  <dc:description>Controlled OLYDEFENCE form OLYD-FRM-CBR-001 V3.0.</dc:description>
  <cp:lastModifiedBy/>
  <cp:revision>1</cp:revision>
  <dcterms:created xsi:type="dcterms:W3CDTF">2013-12-23T23:15:00Z</dcterms:created>
  <dcterms:modified xsi:type="dcterms:W3CDTF">2013-12-23T23:15:00Z</dcterms:modified>
  <cp:category/>
</cp:coreProperties>
</file>